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69D" w:rsidRDefault="0050169D" w:rsidP="006026FE">
      <w:pPr>
        <w:spacing w:line="276" w:lineRule="auto"/>
        <w:jc w:val="both"/>
      </w:pPr>
    </w:p>
    <w:p w:rsidR="0050169D" w:rsidRDefault="0050169D" w:rsidP="006026FE">
      <w:pPr>
        <w:spacing w:line="276" w:lineRule="auto"/>
        <w:jc w:val="both"/>
      </w:pPr>
      <w:r>
        <w:rPr>
          <w:noProof/>
        </w:rPr>
        <w:drawing>
          <wp:anchor distT="0" distB="0" distL="114300" distR="114300" simplePos="0" relativeHeight="251660288" behindDoc="1" locked="0" layoutInCell="1" allowOverlap="1">
            <wp:simplePos x="0" y="0"/>
            <wp:positionH relativeFrom="column">
              <wp:posOffset>1238250</wp:posOffset>
            </wp:positionH>
            <wp:positionV relativeFrom="paragraph">
              <wp:posOffset>26670</wp:posOffset>
            </wp:positionV>
            <wp:extent cx="3511550" cy="2006600"/>
            <wp:effectExtent l="0" t="0" r="0" b="0"/>
            <wp:wrapTight wrapText="bothSides">
              <wp:wrapPolygon edited="0">
                <wp:start x="0" y="0"/>
                <wp:lineTo x="0" y="21327"/>
                <wp:lineTo x="21444" y="21327"/>
                <wp:lineTo x="2144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1550" cy="2006600"/>
                    </a:xfrm>
                    <a:prstGeom prst="rect">
                      <a:avLst/>
                    </a:prstGeom>
                    <a:noFill/>
                    <a:ln>
                      <a:noFill/>
                    </a:ln>
                  </pic:spPr>
                </pic:pic>
              </a:graphicData>
            </a:graphic>
          </wp:anchor>
        </w:drawing>
      </w:r>
    </w:p>
    <w:p w:rsidR="0050169D" w:rsidRDefault="0050169D" w:rsidP="006026FE">
      <w:pPr>
        <w:spacing w:line="276" w:lineRule="auto"/>
        <w:jc w:val="both"/>
      </w:pPr>
    </w:p>
    <w:p w:rsidR="0050169D" w:rsidRDefault="0050169D" w:rsidP="006026FE">
      <w:pPr>
        <w:spacing w:line="276" w:lineRule="auto"/>
        <w:jc w:val="both"/>
      </w:pPr>
    </w:p>
    <w:p w:rsidR="0050169D" w:rsidRDefault="0050169D" w:rsidP="006026FE">
      <w:pPr>
        <w:spacing w:line="276" w:lineRule="auto"/>
        <w:jc w:val="both"/>
      </w:pPr>
    </w:p>
    <w:p w:rsidR="0050169D" w:rsidRDefault="0050169D" w:rsidP="006026FE">
      <w:pPr>
        <w:spacing w:line="276" w:lineRule="auto"/>
        <w:jc w:val="both"/>
      </w:pPr>
    </w:p>
    <w:p w:rsidR="0050169D" w:rsidRDefault="0050169D" w:rsidP="006026FE">
      <w:pPr>
        <w:spacing w:line="276" w:lineRule="auto"/>
        <w:jc w:val="both"/>
      </w:pPr>
    </w:p>
    <w:p w:rsidR="0050169D" w:rsidRDefault="0050169D" w:rsidP="006026FE">
      <w:pPr>
        <w:spacing w:line="276" w:lineRule="auto"/>
        <w:jc w:val="both"/>
      </w:pPr>
    </w:p>
    <w:p w:rsidR="0050169D" w:rsidRDefault="0050169D" w:rsidP="006026FE">
      <w:pPr>
        <w:spacing w:line="276" w:lineRule="auto"/>
        <w:jc w:val="both"/>
      </w:pPr>
    </w:p>
    <w:p w:rsidR="0050169D" w:rsidRDefault="0050169D" w:rsidP="006026FE">
      <w:pPr>
        <w:spacing w:line="276" w:lineRule="auto"/>
        <w:jc w:val="both"/>
      </w:pPr>
    </w:p>
    <w:p w:rsidR="0050169D" w:rsidRDefault="0050169D" w:rsidP="006026FE">
      <w:pPr>
        <w:spacing w:line="276" w:lineRule="auto"/>
        <w:jc w:val="both"/>
      </w:pPr>
    </w:p>
    <w:p w:rsidR="0050169D" w:rsidRDefault="0050169D" w:rsidP="006026FE">
      <w:pPr>
        <w:spacing w:line="276" w:lineRule="auto"/>
        <w:jc w:val="both"/>
      </w:pPr>
    </w:p>
    <w:p w:rsidR="0050169D" w:rsidRDefault="0050169D" w:rsidP="006026FE">
      <w:pPr>
        <w:spacing w:line="276" w:lineRule="auto"/>
        <w:jc w:val="both"/>
      </w:pPr>
    </w:p>
    <w:p w:rsidR="0050169D" w:rsidRDefault="0050169D" w:rsidP="006026FE">
      <w:pPr>
        <w:spacing w:line="276" w:lineRule="auto"/>
        <w:jc w:val="both"/>
      </w:pPr>
    </w:p>
    <w:p w:rsidR="0050169D" w:rsidRDefault="0050169D" w:rsidP="006026FE">
      <w:pPr>
        <w:spacing w:line="276" w:lineRule="auto"/>
        <w:jc w:val="both"/>
      </w:pPr>
    </w:p>
    <w:p w:rsidR="0050169D" w:rsidRDefault="0050169D" w:rsidP="006026FE">
      <w:pPr>
        <w:spacing w:line="276" w:lineRule="auto"/>
        <w:jc w:val="both"/>
      </w:pPr>
    </w:p>
    <w:p w:rsidR="0050169D" w:rsidRPr="00A571E5" w:rsidRDefault="0050169D" w:rsidP="006026FE">
      <w:pPr>
        <w:spacing w:line="276" w:lineRule="auto"/>
        <w:jc w:val="both"/>
      </w:pPr>
    </w:p>
    <w:p w:rsidR="0050169D" w:rsidRPr="00A571E5" w:rsidRDefault="00A93D2F" w:rsidP="006026FE">
      <w:pPr>
        <w:spacing w:line="276" w:lineRule="auto"/>
        <w:jc w:val="both"/>
      </w:pPr>
      <w:r>
        <w:rPr>
          <w:noProof/>
        </w:rPr>
        <w:pict>
          <v:roundrect id="AutoShape 63" o:spid="_x0000_s1026" style="position:absolute;left:0;text-align:left;margin-left:-32.65pt;margin-top:7.1pt;width:507pt;height:145.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" fillcolor="#92cddc" strokecolor="#92cddc" strokeweight="1pt">
            <v:fill color2="#daeef3" angle="135" focus="50%" type="gradient"/>
            <v:shadow on="t" color="#205867" opacity=".5" offset="1pt"/>
            <v:textbox>
              <w:txbxContent>
                <w:p w:rsidR="00E9635E" w:rsidRDefault="00E9635E" w:rsidP="0050169D">
                  <w:pPr>
                    <w:pStyle w:val="Retraitcorpsdetexte"/>
                    <w:spacing w:after="0"/>
                    <w:ind w:left="0"/>
                    <w:jc w:val="center"/>
                    <w:rPr>
                      <w:b/>
                      <w:bCs/>
                      <w:sz w:val="40"/>
                      <w:szCs w:val="40"/>
                    </w:rPr>
                  </w:pPr>
                  <w:r>
                    <w:rPr>
                      <w:b/>
                      <w:bCs/>
                      <w:sz w:val="40"/>
                      <w:szCs w:val="40"/>
                    </w:rPr>
                    <w:t xml:space="preserve">RAPPORT DE SYNTHESE </w:t>
                  </w:r>
                  <w:r w:rsidRPr="00BE7E70">
                    <w:rPr>
                      <w:b/>
                      <w:bCs/>
                      <w:sz w:val="40"/>
                      <w:szCs w:val="40"/>
                    </w:rPr>
                    <w:t xml:space="preserve">D’AUDIT </w:t>
                  </w:r>
                  <w:r>
                    <w:rPr>
                      <w:b/>
                      <w:bCs/>
                      <w:sz w:val="40"/>
                      <w:szCs w:val="40"/>
                    </w:rPr>
                    <w:t xml:space="preserve">DE CONFORMITE DES </w:t>
                  </w:r>
                  <w:r w:rsidRPr="00BE7E70">
                    <w:rPr>
                      <w:b/>
                      <w:bCs/>
                      <w:sz w:val="40"/>
                      <w:szCs w:val="40"/>
                    </w:rPr>
                    <w:t>MARCHES</w:t>
                  </w:r>
                  <w:r>
                    <w:rPr>
                      <w:b/>
                      <w:bCs/>
                      <w:sz w:val="40"/>
                      <w:szCs w:val="40"/>
                    </w:rPr>
                    <w:t xml:space="preserve"> PUBLICS ET DES DELEGATIONS DE SERVICE PUBLIC DE L’ANNEE 2015  DU LOT N°2</w:t>
                  </w:r>
                </w:p>
                <w:p w:rsidR="00E9635E" w:rsidRDefault="00E9635E" w:rsidP="0050169D">
                  <w:pPr>
                    <w:pStyle w:val="Retraitcorpsdetexte"/>
                    <w:spacing w:after="0"/>
                    <w:ind w:left="0"/>
                    <w:jc w:val="center"/>
                    <w:rPr>
                      <w:b/>
                      <w:bCs/>
                      <w:sz w:val="40"/>
                      <w:szCs w:val="40"/>
                    </w:rPr>
                  </w:pPr>
                  <w:r w:rsidRPr="00BE7E70">
                    <w:rPr>
                      <w:b/>
                      <w:bCs/>
                      <w:sz w:val="40"/>
                      <w:szCs w:val="40"/>
                    </w:rPr>
                    <w:t>(PERIODE DU 01/01/2015 AU 31/12/2015)</w:t>
                  </w:r>
                </w:p>
                <w:p w:rsidR="00E9635E" w:rsidRPr="00BE7E70" w:rsidRDefault="00E9635E" w:rsidP="0050169D">
                  <w:pPr>
                    <w:pStyle w:val="Retraitcorpsdetexte"/>
                    <w:spacing w:after="0"/>
                    <w:ind w:left="0"/>
                    <w:jc w:val="center"/>
                    <w:rPr>
                      <w:b/>
                      <w:bCs/>
                      <w:sz w:val="40"/>
                      <w:szCs w:val="40"/>
                    </w:rPr>
                  </w:pPr>
                </w:p>
                <w:p w:rsidR="00E9635E" w:rsidRPr="00BE7E70" w:rsidRDefault="00E9635E" w:rsidP="0050169D">
                  <w:pPr>
                    <w:pStyle w:val="Retraitcorpsdetexte"/>
                    <w:spacing w:after="0"/>
                    <w:ind w:left="0"/>
                    <w:jc w:val="center"/>
                    <w:rPr>
                      <w:b/>
                      <w:bCs/>
                      <w:sz w:val="40"/>
                      <w:szCs w:val="40"/>
                    </w:rPr>
                  </w:pPr>
                </w:p>
              </w:txbxContent>
            </v:textbox>
          </v:roundrect>
        </w:pict>
      </w:r>
    </w:p>
    <w:p w:rsidR="0050169D" w:rsidRPr="00A571E5" w:rsidRDefault="0050169D" w:rsidP="006026FE">
      <w:pPr>
        <w:spacing w:line="276" w:lineRule="auto"/>
        <w:jc w:val="both"/>
      </w:pPr>
    </w:p>
    <w:p w:rsidR="0050169D" w:rsidRPr="00A571E5" w:rsidRDefault="0050169D" w:rsidP="006026FE">
      <w:pPr>
        <w:spacing w:line="276" w:lineRule="auto"/>
        <w:jc w:val="both"/>
      </w:pPr>
    </w:p>
    <w:p w:rsidR="0050169D" w:rsidRPr="00A571E5" w:rsidRDefault="0050169D" w:rsidP="006026FE">
      <w:pPr>
        <w:spacing w:line="276" w:lineRule="auto"/>
        <w:jc w:val="both"/>
      </w:pPr>
    </w:p>
    <w:p w:rsidR="0050169D" w:rsidRPr="00A571E5" w:rsidRDefault="0050169D" w:rsidP="006026FE">
      <w:pPr>
        <w:spacing w:line="276" w:lineRule="auto"/>
        <w:jc w:val="both"/>
      </w:pPr>
    </w:p>
    <w:p w:rsidR="0050169D" w:rsidRPr="00A571E5" w:rsidRDefault="0050169D" w:rsidP="006026FE">
      <w:pPr>
        <w:spacing w:line="276" w:lineRule="auto"/>
        <w:jc w:val="both"/>
      </w:pPr>
    </w:p>
    <w:p w:rsidR="0050169D" w:rsidRPr="00A571E5" w:rsidRDefault="0050169D" w:rsidP="006026FE">
      <w:pPr>
        <w:spacing w:line="276" w:lineRule="auto"/>
        <w:jc w:val="both"/>
      </w:pPr>
    </w:p>
    <w:p w:rsidR="0050169D" w:rsidRPr="00A571E5" w:rsidRDefault="0050169D" w:rsidP="006026FE">
      <w:pPr>
        <w:spacing w:line="276" w:lineRule="auto"/>
        <w:jc w:val="both"/>
      </w:pPr>
    </w:p>
    <w:p w:rsidR="0050169D" w:rsidRDefault="0050169D" w:rsidP="006026FE">
      <w:pPr>
        <w:spacing w:line="276" w:lineRule="auto"/>
        <w:jc w:val="both"/>
      </w:pPr>
    </w:p>
    <w:p w:rsidR="0050169D" w:rsidRDefault="0050169D" w:rsidP="006026FE">
      <w:pPr>
        <w:spacing w:line="276" w:lineRule="auto"/>
        <w:jc w:val="both"/>
      </w:pPr>
    </w:p>
    <w:p w:rsidR="0050169D" w:rsidRDefault="0050169D" w:rsidP="006026FE">
      <w:pPr>
        <w:spacing w:line="276" w:lineRule="auto"/>
        <w:jc w:val="both"/>
      </w:pPr>
    </w:p>
    <w:p w:rsidR="008B4255" w:rsidRDefault="008B4255" w:rsidP="006026FE">
      <w:pPr>
        <w:spacing w:line="276" w:lineRule="auto"/>
        <w:jc w:val="both"/>
      </w:pPr>
    </w:p>
    <w:p w:rsidR="008B4255" w:rsidRDefault="008B4255" w:rsidP="006026FE">
      <w:pPr>
        <w:spacing w:line="276" w:lineRule="auto"/>
        <w:jc w:val="both"/>
      </w:pPr>
    </w:p>
    <w:p w:rsidR="0050169D" w:rsidRPr="00E04656" w:rsidRDefault="0050169D" w:rsidP="003476FD">
      <w:pPr>
        <w:spacing w:line="276" w:lineRule="auto"/>
        <w:jc w:val="center"/>
        <w:rPr>
          <w:b/>
          <w:i/>
          <w:color w:val="FF0000"/>
          <w:sz w:val="40"/>
          <w:szCs w:val="40"/>
          <w:u w:val="single"/>
        </w:rPr>
      </w:pPr>
      <w:r>
        <w:rPr>
          <w:b/>
          <w:i/>
          <w:color w:val="FF0000"/>
          <w:sz w:val="40"/>
          <w:szCs w:val="40"/>
          <w:u w:val="single"/>
        </w:rPr>
        <w:t xml:space="preserve">Version </w:t>
      </w:r>
      <w:r w:rsidR="00A720C5">
        <w:rPr>
          <w:b/>
          <w:i/>
          <w:color w:val="FF0000"/>
          <w:sz w:val="40"/>
          <w:szCs w:val="40"/>
          <w:u w:val="single"/>
        </w:rPr>
        <w:t>Définitive</w:t>
      </w:r>
    </w:p>
    <w:p w:rsidR="0050169D" w:rsidRDefault="0050169D" w:rsidP="006026FE">
      <w:pPr>
        <w:spacing w:line="276" w:lineRule="auto"/>
        <w:jc w:val="both"/>
      </w:pPr>
    </w:p>
    <w:p w:rsidR="0050169D" w:rsidRDefault="0050169D" w:rsidP="006026FE">
      <w:pPr>
        <w:spacing w:line="276" w:lineRule="auto"/>
        <w:jc w:val="both"/>
      </w:pPr>
    </w:p>
    <w:p w:rsidR="00521628" w:rsidRDefault="00521628" w:rsidP="006026FE">
      <w:pPr>
        <w:spacing w:line="276" w:lineRule="auto"/>
        <w:jc w:val="both"/>
      </w:pPr>
    </w:p>
    <w:p w:rsidR="00521628" w:rsidRDefault="00521628" w:rsidP="006026FE">
      <w:pPr>
        <w:spacing w:line="276" w:lineRule="auto"/>
        <w:jc w:val="both"/>
      </w:pPr>
    </w:p>
    <w:p w:rsidR="0050169D" w:rsidRDefault="0050169D" w:rsidP="006026FE">
      <w:pPr>
        <w:spacing w:line="276" w:lineRule="auto"/>
        <w:jc w:val="both"/>
      </w:pPr>
    </w:p>
    <w:p w:rsidR="0050169D" w:rsidRPr="00A571E5" w:rsidRDefault="0050169D" w:rsidP="006026FE">
      <w:pPr>
        <w:spacing w:line="276" w:lineRule="auto"/>
        <w:jc w:val="both"/>
      </w:pPr>
    </w:p>
    <w:tbl>
      <w:tblPr>
        <w:tblW w:w="9781" w:type="dxa"/>
        <w:tblInd w:w="108" w:type="dxa"/>
        <w:tblLook w:val="01E0" w:firstRow="1" w:lastRow="1" w:firstColumn="1" w:lastColumn="1" w:noHBand="0" w:noVBand="0"/>
      </w:tblPr>
      <w:tblGrid>
        <w:gridCol w:w="2977"/>
        <w:gridCol w:w="1701"/>
        <w:gridCol w:w="5103"/>
      </w:tblGrid>
      <w:tr w:rsidR="0050169D" w:rsidRPr="00EB7BEB" w:rsidTr="007F3594">
        <w:tc>
          <w:tcPr>
            <w:tcW w:w="2977" w:type="dxa"/>
          </w:tcPr>
          <w:p w:rsidR="0050169D" w:rsidRDefault="00A720C5" w:rsidP="006026FE">
            <w:pPr>
              <w:spacing w:line="276" w:lineRule="auto"/>
              <w:jc w:val="both"/>
            </w:pPr>
            <w:r>
              <w:rPr>
                <w:b/>
                <w:bCs/>
              </w:rPr>
              <w:t xml:space="preserve">Mars </w:t>
            </w:r>
            <w:r w:rsidR="0050169D" w:rsidRPr="00C857C8">
              <w:rPr>
                <w:b/>
                <w:bCs/>
              </w:rPr>
              <w:t xml:space="preserve"> 201</w:t>
            </w:r>
            <w:r w:rsidR="007F3594">
              <w:rPr>
                <w:b/>
                <w:bCs/>
              </w:rPr>
              <w:t>8</w:t>
            </w:r>
          </w:p>
          <w:p w:rsidR="0050169D" w:rsidRPr="00E04656" w:rsidRDefault="0050169D" w:rsidP="006026FE">
            <w:pPr>
              <w:spacing w:line="276" w:lineRule="auto"/>
              <w:jc w:val="both"/>
            </w:pPr>
          </w:p>
          <w:p w:rsidR="0050169D" w:rsidRPr="00E04656" w:rsidRDefault="0050169D" w:rsidP="006026FE">
            <w:pPr>
              <w:spacing w:line="276" w:lineRule="auto"/>
              <w:jc w:val="both"/>
            </w:pPr>
          </w:p>
          <w:p w:rsidR="0050169D" w:rsidRDefault="0050169D" w:rsidP="006026FE">
            <w:pPr>
              <w:spacing w:line="276" w:lineRule="auto"/>
              <w:jc w:val="both"/>
            </w:pPr>
          </w:p>
          <w:p w:rsidR="0050169D" w:rsidRPr="00E04656" w:rsidRDefault="0050169D" w:rsidP="006026FE">
            <w:pPr>
              <w:spacing w:line="276" w:lineRule="auto"/>
              <w:jc w:val="both"/>
            </w:pPr>
          </w:p>
        </w:tc>
        <w:tc>
          <w:tcPr>
            <w:tcW w:w="1701" w:type="dxa"/>
          </w:tcPr>
          <w:p w:rsidR="0050169D" w:rsidRPr="00EB7BEB" w:rsidRDefault="0050169D" w:rsidP="006026FE">
            <w:pPr>
              <w:spacing w:line="276" w:lineRule="auto"/>
              <w:jc w:val="both"/>
              <w:rPr>
                <w:b/>
                <w:bCs/>
              </w:rPr>
            </w:pPr>
            <w:r w:rsidRPr="0076332E">
              <w:rPr>
                <w:noProof/>
              </w:rPr>
              <w:drawing>
                <wp:inline distT="0" distB="0" distL="0" distR="0">
                  <wp:extent cx="767715" cy="5607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7715" cy="560705"/>
                          </a:xfrm>
                          <a:prstGeom prst="rect">
                            <a:avLst/>
                          </a:prstGeom>
                          <a:noFill/>
                          <a:ln>
                            <a:noFill/>
                          </a:ln>
                        </pic:spPr>
                      </pic:pic>
                    </a:graphicData>
                  </a:graphic>
                </wp:inline>
              </w:drawing>
            </w:r>
          </w:p>
          <w:p w:rsidR="0050169D" w:rsidRPr="00535581" w:rsidRDefault="0050169D" w:rsidP="006026FE">
            <w:pPr>
              <w:spacing w:line="276" w:lineRule="auto"/>
              <w:jc w:val="both"/>
            </w:pPr>
          </w:p>
        </w:tc>
        <w:tc>
          <w:tcPr>
            <w:tcW w:w="5103" w:type="dxa"/>
            <w:vAlign w:val="center"/>
          </w:tcPr>
          <w:p w:rsidR="0050169D" w:rsidRPr="00EB7BEB" w:rsidRDefault="0050169D" w:rsidP="007F3594">
            <w:pPr>
              <w:spacing w:line="276" w:lineRule="auto"/>
              <w:jc w:val="right"/>
              <w:rPr>
                <w:b/>
                <w:bCs/>
              </w:rPr>
            </w:pPr>
            <w:r w:rsidRPr="00EB7BEB">
              <w:rPr>
                <w:b/>
                <w:bCs/>
              </w:rPr>
              <w:t>FIDUCIAL EXPERTISE AK                                                                         01 BP 4134 Ouagadougou 01</w:t>
            </w:r>
          </w:p>
          <w:p w:rsidR="0050169D" w:rsidRDefault="0050169D" w:rsidP="007F3594">
            <w:pPr>
              <w:spacing w:line="276" w:lineRule="auto"/>
              <w:jc w:val="right"/>
              <w:rPr>
                <w:b/>
                <w:bCs/>
              </w:rPr>
            </w:pPr>
            <w:r w:rsidRPr="00EB7BEB">
              <w:rPr>
                <w:b/>
                <w:bCs/>
              </w:rPr>
              <w:t>Tél :</w:t>
            </w:r>
            <w:r>
              <w:rPr>
                <w:b/>
                <w:bCs/>
              </w:rPr>
              <w:t xml:space="preserve"> (+226) 25</w:t>
            </w:r>
            <w:r w:rsidRPr="00EB7BEB">
              <w:rPr>
                <w:b/>
                <w:bCs/>
              </w:rPr>
              <w:t xml:space="preserve"> 30 85 07</w:t>
            </w:r>
            <w:r>
              <w:rPr>
                <w:b/>
                <w:bCs/>
              </w:rPr>
              <w:t>/25 33 12 04</w:t>
            </w:r>
          </w:p>
          <w:p w:rsidR="0050169D" w:rsidRPr="00EB7BEB" w:rsidRDefault="0050169D" w:rsidP="007F3594">
            <w:pPr>
              <w:spacing w:line="276" w:lineRule="auto"/>
              <w:jc w:val="right"/>
              <w:rPr>
                <w:b/>
                <w:bCs/>
              </w:rPr>
            </w:pPr>
            <w:r w:rsidRPr="00EB7BEB">
              <w:rPr>
                <w:b/>
                <w:bCs/>
              </w:rPr>
              <w:t>Fax :</w:t>
            </w:r>
            <w:r>
              <w:rPr>
                <w:b/>
                <w:bCs/>
              </w:rPr>
              <w:t xml:space="preserve"> (+226) 25</w:t>
            </w:r>
            <w:r w:rsidRPr="00EB7BEB">
              <w:rPr>
                <w:b/>
                <w:bCs/>
              </w:rPr>
              <w:t xml:space="preserve"> 31 78 94</w:t>
            </w:r>
          </w:p>
          <w:p w:rsidR="0050169D" w:rsidRPr="00EB7BEB" w:rsidRDefault="0050169D" w:rsidP="007F3594">
            <w:pPr>
              <w:spacing w:line="276" w:lineRule="auto"/>
              <w:jc w:val="right"/>
              <w:rPr>
                <w:b/>
                <w:bCs/>
              </w:rPr>
            </w:pPr>
            <w:r w:rsidRPr="00EB7BEB">
              <w:rPr>
                <w:b/>
                <w:bCs/>
              </w:rPr>
              <w:t>E-mail :fiducialak@fasonet.bf</w:t>
            </w:r>
          </w:p>
        </w:tc>
      </w:tr>
    </w:tbl>
    <w:p w:rsidR="0050169D" w:rsidRPr="00E04656" w:rsidRDefault="0050169D" w:rsidP="006026FE">
      <w:pPr>
        <w:tabs>
          <w:tab w:val="left" w:pos="1399"/>
          <w:tab w:val="center" w:pos="4536"/>
        </w:tabs>
        <w:spacing w:line="276" w:lineRule="auto"/>
        <w:jc w:val="both"/>
        <w:sectPr w:rsidR="0050169D" w:rsidRPr="00E04656" w:rsidSect="006026FE">
          <w:headerReference w:type="default" r:id="rId10"/>
          <w:footerReference w:type="default" r:id="rId11"/>
          <w:pgSz w:w="11906" w:h="16838"/>
          <w:pgMar w:top="1418" w:right="1418" w:bottom="1418" w:left="1418" w:header="709" w:footer="709" w:gutter="0"/>
          <w:cols w:space="708"/>
          <w:docGrid w:linePitch="360"/>
        </w:sectPr>
      </w:pPr>
    </w:p>
    <w:p w:rsidR="0050169D" w:rsidRDefault="0050169D" w:rsidP="006026FE">
      <w:pPr>
        <w:spacing w:line="276" w:lineRule="auto"/>
        <w:jc w:val="both"/>
        <w:rPr>
          <w:b/>
          <w:bCs/>
        </w:rPr>
      </w:pPr>
    </w:p>
    <w:p w:rsidR="0050169D" w:rsidRPr="007A11BD" w:rsidRDefault="0050169D" w:rsidP="006026FE">
      <w:pPr>
        <w:spacing w:line="276" w:lineRule="auto"/>
        <w:jc w:val="both"/>
        <w:rPr>
          <w:b/>
          <w:bCs/>
          <w:sz w:val="28"/>
          <w:szCs w:val="28"/>
        </w:rPr>
      </w:pPr>
      <w:r w:rsidRPr="007A11BD">
        <w:rPr>
          <w:b/>
          <w:bCs/>
          <w:sz w:val="28"/>
          <w:szCs w:val="28"/>
        </w:rPr>
        <w:t>SOMMAIRE</w:t>
      </w:r>
    </w:p>
    <w:p w:rsidR="0050169D" w:rsidRPr="00B17EAB" w:rsidRDefault="0050169D" w:rsidP="006026FE">
      <w:pPr>
        <w:spacing w:line="276" w:lineRule="auto"/>
        <w:jc w:val="both"/>
        <w:rPr>
          <w:b/>
          <w:bCs/>
        </w:rPr>
      </w:pPr>
    </w:p>
    <w:p w:rsidR="0050169D" w:rsidRPr="00A571E5" w:rsidRDefault="0050169D" w:rsidP="006026FE">
      <w:pPr>
        <w:spacing w:line="276" w:lineRule="auto"/>
        <w:jc w:val="both"/>
        <w:rPr>
          <w:b/>
          <w:bCs/>
        </w:rPr>
      </w:pPr>
    </w:p>
    <w:tbl>
      <w:tblPr>
        <w:tblW w:w="7220" w:type="dxa"/>
        <w:tblCellMar>
          <w:left w:w="70" w:type="dxa"/>
          <w:right w:w="70" w:type="dxa"/>
        </w:tblCellMar>
        <w:tblLook w:val="04A0" w:firstRow="1" w:lastRow="0" w:firstColumn="1" w:lastColumn="0" w:noHBand="0" w:noVBand="1"/>
      </w:tblPr>
      <w:tblGrid>
        <w:gridCol w:w="7060"/>
        <w:gridCol w:w="607"/>
      </w:tblGrid>
      <w:tr w:rsidR="0050169D" w:rsidRPr="00736DEC" w:rsidTr="0050169D">
        <w:trPr>
          <w:trHeight w:val="315"/>
        </w:trPr>
        <w:tc>
          <w:tcPr>
            <w:tcW w:w="7060" w:type="dxa"/>
            <w:tcBorders>
              <w:top w:val="nil"/>
              <w:left w:val="nil"/>
              <w:bottom w:val="nil"/>
              <w:right w:val="nil"/>
            </w:tcBorders>
            <w:shd w:val="clear" w:color="auto" w:fill="auto"/>
            <w:vAlign w:val="center"/>
            <w:hideMark/>
          </w:tcPr>
          <w:p w:rsidR="0050169D" w:rsidRPr="00736DEC" w:rsidRDefault="0050169D" w:rsidP="006026FE">
            <w:pPr>
              <w:spacing w:line="276" w:lineRule="auto"/>
              <w:jc w:val="both"/>
              <w:rPr>
                <w:sz w:val="20"/>
                <w:szCs w:val="20"/>
              </w:rPr>
            </w:pPr>
          </w:p>
        </w:tc>
        <w:tc>
          <w:tcPr>
            <w:tcW w:w="160" w:type="dxa"/>
            <w:tcBorders>
              <w:top w:val="nil"/>
              <w:left w:val="nil"/>
              <w:bottom w:val="nil"/>
              <w:right w:val="nil"/>
            </w:tcBorders>
            <w:shd w:val="clear" w:color="auto" w:fill="auto"/>
            <w:noWrap/>
            <w:vAlign w:val="center"/>
            <w:hideMark/>
          </w:tcPr>
          <w:p w:rsidR="0050169D" w:rsidRPr="00736DEC" w:rsidRDefault="0050169D" w:rsidP="006026FE">
            <w:pPr>
              <w:spacing w:line="276" w:lineRule="auto"/>
              <w:jc w:val="both"/>
              <w:rPr>
                <w:color w:val="000000"/>
                <w:sz w:val="20"/>
                <w:szCs w:val="20"/>
              </w:rPr>
            </w:pPr>
            <w:r w:rsidRPr="00736DEC">
              <w:rPr>
                <w:color w:val="000000"/>
                <w:sz w:val="20"/>
                <w:szCs w:val="20"/>
              </w:rPr>
              <w:t>Pages</w:t>
            </w:r>
          </w:p>
        </w:tc>
      </w:tr>
      <w:tr w:rsidR="0050169D" w:rsidRPr="00736DEC" w:rsidTr="0050169D">
        <w:trPr>
          <w:trHeight w:val="315"/>
        </w:trPr>
        <w:tc>
          <w:tcPr>
            <w:tcW w:w="7060" w:type="dxa"/>
            <w:tcBorders>
              <w:top w:val="nil"/>
              <w:left w:val="nil"/>
              <w:bottom w:val="nil"/>
              <w:right w:val="nil"/>
            </w:tcBorders>
            <w:shd w:val="clear" w:color="auto" w:fill="auto"/>
            <w:vAlign w:val="center"/>
            <w:hideMark/>
          </w:tcPr>
          <w:p w:rsidR="0050169D" w:rsidRPr="00736DEC" w:rsidRDefault="0050169D" w:rsidP="006026FE">
            <w:pPr>
              <w:spacing w:line="276" w:lineRule="auto"/>
              <w:jc w:val="both"/>
              <w:rPr>
                <w:color w:val="000000"/>
                <w:sz w:val="20"/>
                <w:szCs w:val="20"/>
              </w:rPr>
            </w:pPr>
          </w:p>
        </w:tc>
        <w:tc>
          <w:tcPr>
            <w:tcW w:w="160" w:type="dxa"/>
            <w:tcBorders>
              <w:top w:val="nil"/>
              <w:left w:val="nil"/>
              <w:bottom w:val="nil"/>
              <w:right w:val="nil"/>
            </w:tcBorders>
            <w:shd w:val="clear" w:color="auto" w:fill="auto"/>
            <w:noWrap/>
            <w:vAlign w:val="center"/>
            <w:hideMark/>
          </w:tcPr>
          <w:p w:rsidR="0050169D" w:rsidRPr="00736DEC" w:rsidRDefault="0050169D" w:rsidP="006026FE">
            <w:pPr>
              <w:spacing w:line="276" w:lineRule="auto"/>
              <w:jc w:val="both"/>
              <w:rPr>
                <w:sz w:val="20"/>
                <w:szCs w:val="20"/>
              </w:rPr>
            </w:pPr>
          </w:p>
        </w:tc>
      </w:tr>
      <w:tr w:rsidR="0050169D" w:rsidRPr="00736DEC" w:rsidTr="0050169D">
        <w:trPr>
          <w:trHeight w:val="315"/>
        </w:trPr>
        <w:tc>
          <w:tcPr>
            <w:tcW w:w="7060" w:type="dxa"/>
            <w:tcBorders>
              <w:top w:val="nil"/>
              <w:left w:val="nil"/>
              <w:bottom w:val="nil"/>
              <w:right w:val="nil"/>
            </w:tcBorders>
            <w:shd w:val="clear" w:color="auto" w:fill="auto"/>
            <w:noWrap/>
            <w:vAlign w:val="center"/>
            <w:hideMark/>
          </w:tcPr>
          <w:p w:rsidR="0050169D" w:rsidRPr="00736DEC" w:rsidRDefault="0050169D" w:rsidP="006026FE">
            <w:pPr>
              <w:spacing w:line="276" w:lineRule="auto"/>
              <w:jc w:val="both"/>
              <w:rPr>
                <w:b/>
                <w:bCs/>
                <w:color w:val="000000"/>
                <w:sz w:val="20"/>
                <w:szCs w:val="20"/>
              </w:rPr>
            </w:pPr>
            <w:r w:rsidRPr="00736DEC">
              <w:rPr>
                <w:b/>
                <w:bCs/>
                <w:color w:val="000000"/>
                <w:sz w:val="20"/>
                <w:szCs w:val="20"/>
              </w:rPr>
              <w:t xml:space="preserve">LETTRE AU SECRETAIRE  EXCUTITIF </w:t>
            </w:r>
          </w:p>
        </w:tc>
        <w:tc>
          <w:tcPr>
            <w:tcW w:w="160" w:type="dxa"/>
            <w:tcBorders>
              <w:top w:val="nil"/>
              <w:left w:val="nil"/>
              <w:bottom w:val="nil"/>
              <w:right w:val="nil"/>
            </w:tcBorders>
            <w:shd w:val="clear" w:color="auto" w:fill="auto"/>
            <w:noWrap/>
            <w:vAlign w:val="center"/>
          </w:tcPr>
          <w:p w:rsidR="0050169D" w:rsidRPr="00736DEC" w:rsidRDefault="0050169D" w:rsidP="006026FE">
            <w:pPr>
              <w:spacing w:line="276" w:lineRule="auto"/>
              <w:jc w:val="both"/>
              <w:rPr>
                <w:b/>
                <w:bCs/>
                <w:color w:val="000000"/>
                <w:sz w:val="20"/>
                <w:szCs w:val="20"/>
              </w:rPr>
            </w:pPr>
          </w:p>
        </w:tc>
      </w:tr>
      <w:tr w:rsidR="0050169D" w:rsidRPr="00736DEC" w:rsidTr="0050169D">
        <w:trPr>
          <w:trHeight w:val="300"/>
        </w:trPr>
        <w:tc>
          <w:tcPr>
            <w:tcW w:w="7060" w:type="dxa"/>
            <w:tcBorders>
              <w:top w:val="nil"/>
              <w:left w:val="nil"/>
              <w:bottom w:val="nil"/>
              <w:right w:val="nil"/>
            </w:tcBorders>
            <w:shd w:val="clear" w:color="auto" w:fill="auto"/>
            <w:noWrap/>
            <w:vAlign w:val="center"/>
            <w:hideMark/>
          </w:tcPr>
          <w:p w:rsidR="0050169D" w:rsidRPr="00736DEC" w:rsidRDefault="0050169D" w:rsidP="006026FE">
            <w:pPr>
              <w:spacing w:line="276" w:lineRule="auto"/>
              <w:jc w:val="both"/>
              <w:rPr>
                <w:bCs/>
                <w:color w:val="000000"/>
                <w:sz w:val="20"/>
                <w:szCs w:val="20"/>
              </w:rPr>
            </w:pPr>
          </w:p>
        </w:tc>
        <w:tc>
          <w:tcPr>
            <w:tcW w:w="160" w:type="dxa"/>
            <w:tcBorders>
              <w:top w:val="nil"/>
              <w:left w:val="nil"/>
              <w:bottom w:val="nil"/>
              <w:right w:val="nil"/>
            </w:tcBorders>
            <w:shd w:val="clear" w:color="auto" w:fill="auto"/>
            <w:noWrap/>
            <w:vAlign w:val="bottom"/>
          </w:tcPr>
          <w:p w:rsidR="0050169D" w:rsidRPr="00736DEC" w:rsidRDefault="0050169D" w:rsidP="006026FE">
            <w:pPr>
              <w:spacing w:line="276" w:lineRule="auto"/>
              <w:jc w:val="both"/>
              <w:rPr>
                <w:b/>
                <w:sz w:val="20"/>
                <w:szCs w:val="20"/>
              </w:rPr>
            </w:pPr>
          </w:p>
        </w:tc>
      </w:tr>
      <w:tr w:rsidR="0050169D" w:rsidRPr="00736DEC" w:rsidTr="0050169D">
        <w:trPr>
          <w:trHeight w:val="315"/>
        </w:trPr>
        <w:tc>
          <w:tcPr>
            <w:tcW w:w="7060" w:type="dxa"/>
            <w:tcBorders>
              <w:top w:val="nil"/>
              <w:left w:val="nil"/>
              <w:bottom w:val="nil"/>
              <w:right w:val="nil"/>
            </w:tcBorders>
            <w:shd w:val="clear" w:color="auto" w:fill="auto"/>
            <w:noWrap/>
            <w:vAlign w:val="center"/>
            <w:hideMark/>
          </w:tcPr>
          <w:p w:rsidR="0050169D" w:rsidRPr="00736DEC" w:rsidRDefault="0050169D" w:rsidP="006026FE">
            <w:pPr>
              <w:spacing w:line="276" w:lineRule="auto"/>
              <w:jc w:val="both"/>
              <w:rPr>
                <w:b/>
                <w:bCs/>
                <w:color w:val="000000"/>
                <w:sz w:val="20"/>
                <w:szCs w:val="20"/>
              </w:rPr>
            </w:pPr>
            <w:r>
              <w:rPr>
                <w:b/>
                <w:bCs/>
                <w:color w:val="000000"/>
                <w:sz w:val="20"/>
                <w:szCs w:val="20"/>
              </w:rPr>
              <w:t xml:space="preserve">I </w:t>
            </w:r>
            <w:r w:rsidRPr="00736DEC">
              <w:rPr>
                <w:b/>
                <w:bCs/>
                <w:color w:val="000000"/>
                <w:sz w:val="20"/>
                <w:szCs w:val="20"/>
              </w:rPr>
              <w:t>PRESENTATION DE LA MISSION D’AUDIT</w:t>
            </w:r>
          </w:p>
        </w:tc>
        <w:tc>
          <w:tcPr>
            <w:tcW w:w="160" w:type="dxa"/>
            <w:tcBorders>
              <w:top w:val="nil"/>
              <w:left w:val="nil"/>
              <w:bottom w:val="nil"/>
              <w:right w:val="nil"/>
            </w:tcBorders>
            <w:shd w:val="clear" w:color="auto" w:fill="auto"/>
            <w:noWrap/>
            <w:vAlign w:val="center"/>
          </w:tcPr>
          <w:p w:rsidR="0050169D" w:rsidRPr="00736DEC" w:rsidRDefault="0050169D" w:rsidP="006026FE">
            <w:pPr>
              <w:spacing w:line="276" w:lineRule="auto"/>
              <w:jc w:val="both"/>
              <w:rPr>
                <w:b/>
                <w:bCs/>
                <w:color w:val="000000"/>
                <w:sz w:val="20"/>
                <w:szCs w:val="20"/>
              </w:rPr>
            </w:pPr>
          </w:p>
        </w:tc>
      </w:tr>
      <w:tr w:rsidR="0050169D" w:rsidRPr="00736DEC" w:rsidTr="0050169D">
        <w:trPr>
          <w:trHeight w:val="300"/>
        </w:trPr>
        <w:tc>
          <w:tcPr>
            <w:tcW w:w="7060" w:type="dxa"/>
            <w:tcBorders>
              <w:top w:val="nil"/>
              <w:left w:val="nil"/>
              <w:bottom w:val="nil"/>
              <w:right w:val="nil"/>
            </w:tcBorders>
            <w:shd w:val="clear" w:color="auto" w:fill="auto"/>
            <w:noWrap/>
            <w:vAlign w:val="center"/>
            <w:hideMark/>
          </w:tcPr>
          <w:p w:rsidR="0050169D" w:rsidRPr="00736DEC" w:rsidRDefault="0050169D" w:rsidP="006026FE">
            <w:pPr>
              <w:spacing w:line="276" w:lineRule="auto"/>
              <w:jc w:val="both"/>
              <w:rPr>
                <w:bCs/>
                <w:color w:val="000000"/>
                <w:sz w:val="20"/>
                <w:szCs w:val="20"/>
              </w:rPr>
            </w:pPr>
          </w:p>
        </w:tc>
        <w:tc>
          <w:tcPr>
            <w:tcW w:w="160" w:type="dxa"/>
            <w:tcBorders>
              <w:top w:val="nil"/>
              <w:left w:val="nil"/>
              <w:bottom w:val="nil"/>
              <w:right w:val="nil"/>
            </w:tcBorders>
            <w:shd w:val="clear" w:color="auto" w:fill="auto"/>
            <w:noWrap/>
            <w:vAlign w:val="bottom"/>
          </w:tcPr>
          <w:p w:rsidR="0050169D" w:rsidRPr="00736DEC" w:rsidRDefault="0050169D" w:rsidP="006026FE">
            <w:pPr>
              <w:spacing w:line="276" w:lineRule="auto"/>
              <w:jc w:val="both"/>
              <w:rPr>
                <w:b/>
                <w:sz w:val="20"/>
                <w:szCs w:val="20"/>
              </w:rPr>
            </w:pPr>
          </w:p>
        </w:tc>
      </w:tr>
      <w:tr w:rsidR="0050169D" w:rsidRPr="00DD02BC" w:rsidTr="0050169D">
        <w:trPr>
          <w:trHeight w:val="300"/>
        </w:trPr>
        <w:tc>
          <w:tcPr>
            <w:tcW w:w="7060" w:type="dxa"/>
            <w:tcBorders>
              <w:top w:val="nil"/>
              <w:left w:val="nil"/>
              <w:bottom w:val="nil"/>
              <w:right w:val="nil"/>
            </w:tcBorders>
            <w:shd w:val="clear" w:color="auto" w:fill="auto"/>
            <w:noWrap/>
            <w:vAlign w:val="center"/>
          </w:tcPr>
          <w:p w:rsidR="0050169D" w:rsidRPr="00DD02BC" w:rsidRDefault="0050169D" w:rsidP="006026FE">
            <w:pPr>
              <w:spacing w:line="276" w:lineRule="auto"/>
              <w:jc w:val="both"/>
              <w:rPr>
                <w:b/>
                <w:bCs/>
                <w:color w:val="000000"/>
                <w:sz w:val="20"/>
                <w:szCs w:val="20"/>
              </w:rPr>
            </w:pPr>
            <w:r w:rsidRPr="00DD02BC">
              <w:rPr>
                <w:b/>
                <w:bCs/>
                <w:color w:val="000000"/>
                <w:sz w:val="20"/>
                <w:szCs w:val="20"/>
              </w:rPr>
              <w:t>I</w:t>
            </w:r>
            <w:r>
              <w:rPr>
                <w:b/>
                <w:bCs/>
                <w:color w:val="000000"/>
                <w:sz w:val="20"/>
                <w:szCs w:val="20"/>
              </w:rPr>
              <w:t>I</w:t>
            </w:r>
            <w:r w:rsidR="008B4255" w:rsidRPr="008B4255">
              <w:rPr>
                <w:b/>
                <w:bCs/>
                <w:color w:val="000000"/>
                <w:sz w:val="20"/>
                <w:szCs w:val="20"/>
              </w:rPr>
              <w:t>METHODOLOGIE MISE EN ŒUVRE</w:t>
            </w:r>
          </w:p>
        </w:tc>
        <w:tc>
          <w:tcPr>
            <w:tcW w:w="160" w:type="dxa"/>
            <w:tcBorders>
              <w:top w:val="nil"/>
              <w:left w:val="nil"/>
              <w:bottom w:val="nil"/>
              <w:right w:val="nil"/>
            </w:tcBorders>
            <w:shd w:val="clear" w:color="auto" w:fill="auto"/>
            <w:noWrap/>
            <w:vAlign w:val="bottom"/>
          </w:tcPr>
          <w:p w:rsidR="0050169D" w:rsidRPr="00DD02BC" w:rsidRDefault="0050169D" w:rsidP="006026FE">
            <w:pPr>
              <w:spacing w:line="276" w:lineRule="auto"/>
              <w:jc w:val="both"/>
              <w:rPr>
                <w:b/>
                <w:sz w:val="20"/>
                <w:szCs w:val="20"/>
              </w:rPr>
            </w:pPr>
          </w:p>
        </w:tc>
      </w:tr>
      <w:tr w:rsidR="0050169D" w:rsidRPr="00736DEC" w:rsidTr="0050169D">
        <w:trPr>
          <w:trHeight w:val="300"/>
        </w:trPr>
        <w:tc>
          <w:tcPr>
            <w:tcW w:w="7060" w:type="dxa"/>
            <w:tcBorders>
              <w:top w:val="nil"/>
              <w:left w:val="nil"/>
              <w:bottom w:val="nil"/>
              <w:right w:val="nil"/>
            </w:tcBorders>
            <w:shd w:val="clear" w:color="auto" w:fill="auto"/>
            <w:noWrap/>
            <w:vAlign w:val="center"/>
          </w:tcPr>
          <w:p w:rsidR="0050169D" w:rsidRPr="00736DEC" w:rsidRDefault="0050169D" w:rsidP="006026FE">
            <w:pPr>
              <w:spacing w:line="276" w:lineRule="auto"/>
              <w:jc w:val="both"/>
              <w:rPr>
                <w:bCs/>
                <w:color w:val="000000"/>
                <w:sz w:val="20"/>
                <w:szCs w:val="20"/>
              </w:rPr>
            </w:pPr>
          </w:p>
        </w:tc>
        <w:tc>
          <w:tcPr>
            <w:tcW w:w="160" w:type="dxa"/>
            <w:tcBorders>
              <w:top w:val="nil"/>
              <w:left w:val="nil"/>
              <w:bottom w:val="nil"/>
              <w:right w:val="nil"/>
            </w:tcBorders>
            <w:shd w:val="clear" w:color="auto" w:fill="auto"/>
            <w:noWrap/>
            <w:vAlign w:val="bottom"/>
          </w:tcPr>
          <w:p w:rsidR="0050169D" w:rsidRPr="00736DEC" w:rsidRDefault="0050169D" w:rsidP="006026FE">
            <w:pPr>
              <w:spacing w:line="276" w:lineRule="auto"/>
              <w:jc w:val="both"/>
              <w:rPr>
                <w:b/>
                <w:sz w:val="20"/>
                <w:szCs w:val="20"/>
              </w:rPr>
            </w:pPr>
          </w:p>
        </w:tc>
      </w:tr>
      <w:tr w:rsidR="0050169D" w:rsidRPr="00736DEC" w:rsidTr="0050169D">
        <w:trPr>
          <w:trHeight w:val="315"/>
        </w:trPr>
        <w:tc>
          <w:tcPr>
            <w:tcW w:w="7060" w:type="dxa"/>
            <w:tcBorders>
              <w:top w:val="nil"/>
              <w:left w:val="nil"/>
              <w:bottom w:val="nil"/>
              <w:right w:val="nil"/>
            </w:tcBorders>
            <w:shd w:val="clear" w:color="auto" w:fill="auto"/>
            <w:noWrap/>
            <w:vAlign w:val="center"/>
            <w:hideMark/>
          </w:tcPr>
          <w:p w:rsidR="0050169D" w:rsidRPr="00736DEC" w:rsidRDefault="0050169D" w:rsidP="006026FE">
            <w:pPr>
              <w:spacing w:line="276" w:lineRule="auto"/>
              <w:jc w:val="both"/>
              <w:rPr>
                <w:b/>
                <w:bCs/>
                <w:color w:val="000000"/>
                <w:sz w:val="20"/>
                <w:szCs w:val="20"/>
              </w:rPr>
            </w:pPr>
            <w:r w:rsidRPr="00736DEC">
              <w:rPr>
                <w:b/>
                <w:bCs/>
                <w:color w:val="000000"/>
                <w:sz w:val="20"/>
                <w:szCs w:val="20"/>
              </w:rPr>
              <w:t>II</w:t>
            </w:r>
            <w:r>
              <w:rPr>
                <w:b/>
                <w:bCs/>
                <w:color w:val="000000"/>
                <w:sz w:val="20"/>
                <w:szCs w:val="20"/>
              </w:rPr>
              <w:t>I</w:t>
            </w:r>
            <w:r w:rsidR="008B4255" w:rsidRPr="008B4255">
              <w:rPr>
                <w:b/>
                <w:bCs/>
                <w:color w:val="000000"/>
                <w:sz w:val="20"/>
                <w:szCs w:val="20"/>
              </w:rPr>
              <w:t>LE DISPOSITIF INSTITUTIONNEL DE LA PASSATION DES MARCHES PUBLICS</w:t>
            </w:r>
          </w:p>
        </w:tc>
        <w:tc>
          <w:tcPr>
            <w:tcW w:w="160" w:type="dxa"/>
            <w:tcBorders>
              <w:top w:val="nil"/>
              <w:left w:val="nil"/>
              <w:bottom w:val="nil"/>
              <w:right w:val="nil"/>
            </w:tcBorders>
            <w:shd w:val="clear" w:color="auto" w:fill="auto"/>
            <w:noWrap/>
            <w:vAlign w:val="center"/>
          </w:tcPr>
          <w:p w:rsidR="0050169D" w:rsidRPr="00736DEC" w:rsidRDefault="0050169D" w:rsidP="006026FE">
            <w:pPr>
              <w:spacing w:line="276" w:lineRule="auto"/>
              <w:jc w:val="both"/>
              <w:rPr>
                <w:b/>
                <w:bCs/>
                <w:color w:val="000000"/>
                <w:sz w:val="20"/>
                <w:szCs w:val="20"/>
              </w:rPr>
            </w:pPr>
          </w:p>
        </w:tc>
      </w:tr>
      <w:tr w:rsidR="0050169D" w:rsidRPr="00736DEC" w:rsidTr="0050169D">
        <w:trPr>
          <w:trHeight w:val="300"/>
        </w:trPr>
        <w:tc>
          <w:tcPr>
            <w:tcW w:w="7060" w:type="dxa"/>
            <w:tcBorders>
              <w:top w:val="nil"/>
              <w:left w:val="nil"/>
              <w:bottom w:val="nil"/>
              <w:right w:val="nil"/>
            </w:tcBorders>
            <w:shd w:val="clear" w:color="auto" w:fill="auto"/>
            <w:noWrap/>
            <w:vAlign w:val="center"/>
            <w:hideMark/>
          </w:tcPr>
          <w:p w:rsidR="0050169D" w:rsidRPr="00736DEC" w:rsidRDefault="0050169D" w:rsidP="006026FE">
            <w:pPr>
              <w:spacing w:line="276" w:lineRule="auto"/>
              <w:jc w:val="both"/>
              <w:rPr>
                <w:bCs/>
                <w:color w:val="000000"/>
                <w:sz w:val="20"/>
                <w:szCs w:val="20"/>
              </w:rPr>
            </w:pPr>
          </w:p>
        </w:tc>
        <w:tc>
          <w:tcPr>
            <w:tcW w:w="160" w:type="dxa"/>
            <w:tcBorders>
              <w:top w:val="nil"/>
              <w:left w:val="nil"/>
              <w:bottom w:val="nil"/>
              <w:right w:val="nil"/>
            </w:tcBorders>
            <w:shd w:val="clear" w:color="auto" w:fill="auto"/>
            <w:noWrap/>
            <w:vAlign w:val="bottom"/>
          </w:tcPr>
          <w:p w:rsidR="0050169D" w:rsidRPr="00736DEC" w:rsidRDefault="0050169D" w:rsidP="006026FE">
            <w:pPr>
              <w:spacing w:line="276" w:lineRule="auto"/>
              <w:jc w:val="both"/>
              <w:rPr>
                <w:b/>
                <w:sz w:val="20"/>
                <w:szCs w:val="20"/>
              </w:rPr>
            </w:pPr>
          </w:p>
        </w:tc>
      </w:tr>
      <w:tr w:rsidR="0050169D" w:rsidRPr="00736DEC" w:rsidTr="0050169D">
        <w:trPr>
          <w:trHeight w:val="315"/>
        </w:trPr>
        <w:tc>
          <w:tcPr>
            <w:tcW w:w="7060" w:type="dxa"/>
            <w:tcBorders>
              <w:top w:val="nil"/>
              <w:left w:val="nil"/>
              <w:bottom w:val="nil"/>
              <w:right w:val="nil"/>
            </w:tcBorders>
            <w:shd w:val="clear" w:color="auto" w:fill="auto"/>
            <w:noWrap/>
            <w:vAlign w:val="center"/>
            <w:hideMark/>
          </w:tcPr>
          <w:p w:rsidR="0050169D" w:rsidRPr="00736DEC" w:rsidRDefault="0050169D" w:rsidP="006026FE">
            <w:pPr>
              <w:spacing w:line="276" w:lineRule="auto"/>
              <w:jc w:val="both"/>
              <w:rPr>
                <w:b/>
                <w:bCs/>
                <w:color w:val="000000"/>
                <w:sz w:val="20"/>
                <w:szCs w:val="20"/>
              </w:rPr>
            </w:pPr>
            <w:r>
              <w:rPr>
                <w:b/>
                <w:bCs/>
                <w:color w:val="000000"/>
                <w:sz w:val="20"/>
                <w:szCs w:val="20"/>
              </w:rPr>
              <w:t>IV</w:t>
            </w:r>
            <w:r w:rsidR="008B4255" w:rsidRPr="008B4255">
              <w:rPr>
                <w:b/>
                <w:bCs/>
                <w:color w:val="000000"/>
                <w:sz w:val="20"/>
                <w:szCs w:val="20"/>
              </w:rPr>
              <w:t>PRESENTATION DE L’ECHANTILLONNAGE</w:t>
            </w:r>
          </w:p>
        </w:tc>
        <w:tc>
          <w:tcPr>
            <w:tcW w:w="160" w:type="dxa"/>
            <w:tcBorders>
              <w:top w:val="nil"/>
              <w:left w:val="nil"/>
              <w:bottom w:val="nil"/>
              <w:right w:val="nil"/>
            </w:tcBorders>
            <w:shd w:val="clear" w:color="auto" w:fill="auto"/>
            <w:noWrap/>
            <w:vAlign w:val="center"/>
          </w:tcPr>
          <w:p w:rsidR="0050169D" w:rsidRPr="00736DEC" w:rsidRDefault="0050169D" w:rsidP="006026FE">
            <w:pPr>
              <w:spacing w:line="276" w:lineRule="auto"/>
              <w:jc w:val="both"/>
              <w:rPr>
                <w:b/>
                <w:bCs/>
                <w:color w:val="000000"/>
                <w:sz w:val="20"/>
                <w:szCs w:val="20"/>
              </w:rPr>
            </w:pPr>
          </w:p>
        </w:tc>
      </w:tr>
      <w:tr w:rsidR="0050169D" w:rsidRPr="00736DEC" w:rsidTr="0050169D">
        <w:trPr>
          <w:trHeight w:val="74"/>
        </w:trPr>
        <w:tc>
          <w:tcPr>
            <w:tcW w:w="7060" w:type="dxa"/>
            <w:tcBorders>
              <w:top w:val="nil"/>
              <w:left w:val="nil"/>
              <w:bottom w:val="nil"/>
              <w:right w:val="nil"/>
            </w:tcBorders>
            <w:shd w:val="clear" w:color="auto" w:fill="auto"/>
            <w:noWrap/>
            <w:vAlign w:val="bottom"/>
            <w:hideMark/>
          </w:tcPr>
          <w:p w:rsidR="0050169D" w:rsidRPr="00736DEC" w:rsidRDefault="0050169D" w:rsidP="006026FE">
            <w:pPr>
              <w:spacing w:line="276" w:lineRule="auto"/>
              <w:jc w:val="both"/>
              <w:rPr>
                <w:bCs/>
                <w:color w:val="000000"/>
                <w:sz w:val="20"/>
                <w:szCs w:val="20"/>
              </w:rPr>
            </w:pPr>
          </w:p>
        </w:tc>
        <w:tc>
          <w:tcPr>
            <w:tcW w:w="160" w:type="dxa"/>
            <w:tcBorders>
              <w:top w:val="nil"/>
              <w:left w:val="nil"/>
              <w:bottom w:val="nil"/>
              <w:right w:val="nil"/>
            </w:tcBorders>
            <w:shd w:val="clear" w:color="auto" w:fill="auto"/>
            <w:noWrap/>
            <w:vAlign w:val="bottom"/>
          </w:tcPr>
          <w:p w:rsidR="0050169D" w:rsidRPr="00736DEC" w:rsidRDefault="0050169D" w:rsidP="006026FE">
            <w:pPr>
              <w:spacing w:line="276" w:lineRule="auto"/>
              <w:jc w:val="both"/>
              <w:rPr>
                <w:b/>
                <w:sz w:val="20"/>
                <w:szCs w:val="20"/>
              </w:rPr>
            </w:pPr>
          </w:p>
        </w:tc>
      </w:tr>
      <w:tr w:rsidR="0050169D" w:rsidRPr="00736DEC" w:rsidTr="0050169D">
        <w:trPr>
          <w:trHeight w:val="315"/>
        </w:trPr>
        <w:tc>
          <w:tcPr>
            <w:tcW w:w="7060" w:type="dxa"/>
            <w:tcBorders>
              <w:top w:val="nil"/>
              <w:left w:val="nil"/>
              <w:bottom w:val="nil"/>
              <w:right w:val="nil"/>
            </w:tcBorders>
            <w:shd w:val="clear" w:color="auto" w:fill="auto"/>
            <w:noWrap/>
            <w:vAlign w:val="center"/>
            <w:hideMark/>
          </w:tcPr>
          <w:p w:rsidR="0050169D" w:rsidRPr="00736DEC" w:rsidRDefault="0050169D" w:rsidP="006026FE">
            <w:pPr>
              <w:spacing w:line="276" w:lineRule="auto"/>
              <w:jc w:val="both"/>
              <w:rPr>
                <w:b/>
                <w:bCs/>
                <w:color w:val="000000"/>
                <w:sz w:val="20"/>
                <w:szCs w:val="20"/>
              </w:rPr>
            </w:pPr>
            <w:r w:rsidRPr="00736DEC">
              <w:rPr>
                <w:b/>
                <w:bCs/>
                <w:color w:val="000000"/>
                <w:sz w:val="20"/>
                <w:szCs w:val="20"/>
              </w:rPr>
              <w:t xml:space="preserve">V </w:t>
            </w:r>
            <w:r w:rsidR="008B4255" w:rsidRPr="008B4255">
              <w:rPr>
                <w:b/>
                <w:bCs/>
                <w:color w:val="000000"/>
                <w:sz w:val="20"/>
                <w:szCs w:val="20"/>
              </w:rPr>
              <w:t>PRICIPAUX CONSTATS ET RECOMMANDATIONS</w:t>
            </w:r>
          </w:p>
        </w:tc>
        <w:tc>
          <w:tcPr>
            <w:tcW w:w="160" w:type="dxa"/>
            <w:tcBorders>
              <w:top w:val="nil"/>
              <w:left w:val="nil"/>
              <w:bottom w:val="nil"/>
              <w:right w:val="nil"/>
            </w:tcBorders>
            <w:shd w:val="clear" w:color="auto" w:fill="auto"/>
            <w:noWrap/>
            <w:vAlign w:val="bottom"/>
          </w:tcPr>
          <w:p w:rsidR="0050169D" w:rsidRPr="00736DEC" w:rsidRDefault="0050169D" w:rsidP="006026FE">
            <w:pPr>
              <w:spacing w:line="276" w:lineRule="auto"/>
              <w:jc w:val="both"/>
              <w:rPr>
                <w:b/>
                <w:bCs/>
                <w:color w:val="000000"/>
                <w:sz w:val="20"/>
                <w:szCs w:val="20"/>
              </w:rPr>
            </w:pPr>
          </w:p>
        </w:tc>
      </w:tr>
      <w:tr w:rsidR="0050169D" w:rsidRPr="00736DEC" w:rsidTr="0050169D">
        <w:trPr>
          <w:trHeight w:val="300"/>
        </w:trPr>
        <w:tc>
          <w:tcPr>
            <w:tcW w:w="7060" w:type="dxa"/>
            <w:tcBorders>
              <w:top w:val="nil"/>
              <w:left w:val="nil"/>
              <w:bottom w:val="nil"/>
              <w:right w:val="nil"/>
            </w:tcBorders>
            <w:shd w:val="clear" w:color="auto" w:fill="auto"/>
            <w:noWrap/>
            <w:vAlign w:val="bottom"/>
            <w:hideMark/>
          </w:tcPr>
          <w:p w:rsidR="0050169D" w:rsidRPr="00736DEC" w:rsidRDefault="0050169D" w:rsidP="006026FE">
            <w:pPr>
              <w:spacing w:line="276" w:lineRule="auto"/>
              <w:jc w:val="both"/>
              <w:rPr>
                <w:bCs/>
                <w:color w:val="000000"/>
                <w:sz w:val="20"/>
                <w:szCs w:val="20"/>
              </w:rPr>
            </w:pPr>
          </w:p>
        </w:tc>
        <w:tc>
          <w:tcPr>
            <w:tcW w:w="160" w:type="dxa"/>
            <w:tcBorders>
              <w:top w:val="nil"/>
              <w:left w:val="nil"/>
              <w:bottom w:val="nil"/>
              <w:right w:val="nil"/>
            </w:tcBorders>
            <w:shd w:val="clear" w:color="auto" w:fill="auto"/>
            <w:noWrap/>
            <w:vAlign w:val="bottom"/>
          </w:tcPr>
          <w:p w:rsidR="0050169D" w:rsidRPr="00736DEC" w:rsidRDefault="0050169D" w:rsidP="006026FE">
            <w:pPr>
              <w:spacing w:line="276" w:lineRule="auto"/>
              <w:jc w:val="both"/>
              <w:rPr>
                <w:b/>
                <w:sz w:val="20"/>
                <w:szCs w:val="20"/>
              </w:rPr>
            </w:pPr>
          </w:p>
        </w:tc>
      </w:tr>
      <w:tr w:rsidR="0050169D" w:rsidRPr="00736DEC" w:rsidTr="0050169D">
        <w:trPr>
          <w:trHeight w:val="222"/>
        </w:trPr>
        <w:tc>
          <w:tcPr>
            <w:tcW w:w="7060" w:type="dxa"/>
            <w:tcBorders>
              <w:top w:val="nil"/>
              <w:left w:val="nil"/>
              <w:bottom w:val="nil"/>
              <w:right w:val="nil"/>
            </w:tcBorders>
            <w:shd w:val="clear" w:color="auto" w:fill="auto"/>
            <w:noWrap/>
            <w:vAlign w:val="bottom"/>
            <w:hideMark/>
          </w:tcPr>
          <w:p w:rsidR="0050169D" w:rsidRPr="00736DEC" w:rsidRDefault="0050169D" w:rsidP="006026FE">
            <w:pPr>
              <w:spacing w:line="276" w:lineRule="auto"/>
              <w:jc w:val="both"/>
              <w:rPr>
                <w:b/>
                <w:bCs/>
                <w:color w:val="000000"/>
                <w:sz w:val="20"/>
                <w:szCs w:val="20"/>
              </w:rPr>
            </w:pPr>
          </w:p>
        </w:tc>
        <w:tc>
          <w:tcPr>
            <w:tcW w:w="160" w:type="dxa"/>
            <w:tcBorders>
              <w:top w:val="nil"/>
              <w:left w:val="nil"/>
              <w:bottom w:val="nil"/>
              <w:right w:val="nil"/>
            </w:tcBorders>
            <w:shd w:val="clear" w:color="auto" w:fill="auto"/>
            <w:noWrap/>
            <w:vAlign w:val="bottom"/>
          </w:tcPr>
          <w:p w:rsidR="0050169D" w:rsidRPr="00736DEC" w:rsidRDefault="0050169D" w:rsidP="006026FE">
            <w:pPr>
              <w:spacing w:line="276" w:lineRule="auto"/>
              <w:jc w:val="both"/>
              <w:rPr>
                <w:b/>
                <w:color w:val="000000"/>
                <w:sz w:val="20"/>
                <w:szCs w:val="20"/>
              </w:rPr>
            </w:pPr>
          </w:p>
        </w:tc>
      </w:tr>
    </w:tbl>
    <w:p w:rsidR="0050169D" w:rsidRPr="00A571E5" w:rsidRDefault="0050169D" w:rsidP="006026FE">
      <w:pPr>
        <w:spacing w:line="276" w:lineRule="auto"/>
        <w:jc w:val="both"/>
      </w:pPr>
    </w:p>
    <w:p w:rsidR="0050169D" w:rsidRPr="00A571E5" w:rsidRDefault="0050169D" w:rsidP="006026FE">
      <w:pPr>
        <w:spacing w:line="276" w:lineRule="auto"/>
        <w:jc w:val="both"/>
      </w:pPr>
    </w:p>
    <w:p w:rsidR="0050169D" w:rsidRPr="00A571E5" w:rsidRDefault="0050169D" w:rsidP="006026FE">
      <w:pPr>
        <w:spacing w:line="276" w:lineRule="auto"/>
        <w:jc w:val="both"/>
      </w:pPr>
    </w:p>
    <w:p w:rsidR="0050169D" w:rsidRPr="00A571E5" w:rsidRDefault="0050169D" w:rsidP="006026FE">
      <w:pPr>
        <w:spacing w:line="276" w:lineRule="auto"/>
        <w:jc w:val="both"/>
      </w:pPr>
    </w:p>
    <w:p w:rsidR="0050169D" w:rsidRPr="00A571E5" w:rsidRDefault="0050169D" w:rsidP="006026FE">
      <w:pPr>
        <w:spacing w:line="276" w:lineRule="auto"/>
        <w:jc w:val="both"/>
      </w:pPr>
    </w:p>
    <w:p w:rsidR="0050169D" w:rsidRPr="00A571E5" w:rsidRDefault="0050169D" w:rsidP="006026FE">
      <w:pPr>
        <w:spacing w:line="276" w:lineRule="auto"/>
        <w:jc w:val="both"/>
      </w:pPr>
    </w:p>
    <w:p w:rsidR="0050169D" w:rsidRPr="00A571E5" w:rsidRDefault="0050169D" w:rsidP="006026FE">
      <w:pPr>
        <w:spacing w:line="276" w:lineRule="auto"/>
        <w:jc w:val="both"/>
      </w:pPr>
    </w:p>
    <w:p w:rsidR="0050169D" w:rsidRPr="00A571E5" w:rsidRDefault="0050169D" w:rsidP="006026FE">
      <w:pPr>
        <w:spacing w:line="276" w:lineRule="auto"/>
        <w:jc w:val="both"/>
      </w:pPr>
    </w:p>
    <w:p w:rsidR="0050169D" w:rsidRPr="00A571E5" w:rsidRDefault="0050169D" w:rsidP="006026FE">
      <w:pPr>
        <w:spacing w:line="276" w:lineRule="auto"/>
        <w:jc w:val="both"/>
      </w:pPr>
    </w:p>
    <w:p w:rsidR="0050169D" w:rsidRPr="00A571E5" w:rsidRDefault="0050169D" w:rsidP="006026FE">
      <w:pPr>
        <w:spacing w:line="276" w:lineRule="auto"/>
        <w:jc w:val="both"/>
      </w:pPr>
    </w:p>
    <w:p w:rsidR="0050169D" w:rsidRPr="00A571E5" w:rsidRDefault="0050169D" w:rsidP="006026FE">
      <w:pPr>
        <w:spacing w:line="276" w:lineRule="auto"/>
        <w:jc w:val="both"/>
      </w:pPr>
    </w:p>
    <w:p w:rsidR="0050169D" w:rsidRPr="00A571E5" w:rsidRDefault="0050169D" w:rsidP="006026FE">
      <w:pPr>
        <w:spacing w:line="276" w:lineRule="auto"/>
        <w:jc w:val="both"/>
      </w:pPr>
    </w:p>
    <w:p w:rsidR="0050169D" w:rsidRPr="00A571E5" w:rsidRDefault="0050169D" w:rsidP="006026FE">
      <w:pPr>
        <w:spacing w:line="276" w:lineRule="auto"/>
        <w:jc w:val="both"/>
      </w:pPr>
    </w:p>
    <w:p w:rsidR="0050169D" w:rsidRPr="00A571E5" w:rsidRDefault="0050169D" w:rsidP="006026FE">
      <w:pPr>
        <w:spacing w:line="276" w:lineRule="auto"/>
        <w:jc w:val="both"/>
      </w:pPr>
    </w:p>
    <w:p w:rsidR="0050169D" w:rsidRPr="00A571E5" w:rsidRDefault="0050169D" w:rsidP="006026FE">
      <w:pPr>
        <w:spacing w:line="276" w:lineRule="auto"/>
        <w:jc w:val="both"/>
      </w:pPr>
    </w:p>
    <w:p w:rsidR="0050169D" w:rsidRPr="00A571E5" w:rsidRDefault="0050169D" w:rsidP="006026FE">
      <w:pPr>
        <w:spacing w:line="276" w:lineRule="auto"/>
        <w:jc w:val="both"/>
      </w:pPr>
    </w:p>
    <w:p w:rsidR="0050169D" w:rsidRPr="00A571E5" w:rsidRDefault="0050169D" w:rsidP="006026FE">
      <w:pPr>
        <w:spacing w:line="276" w:lineRule="auto"/>
        <w:jc w:val="both"/>
      </w:pPr>
    </w:p>
    <w:p w:rsidR="0050169D" w:rsidRDefault="0050169D" w:rsidP="006026FE">
      <w:pPr>
        <w:spacing w:line="276" w:lineRule="auto"/>
        <w:jc w:val="both"/>
      </w:pPr>
    </w:p>
    <w:p w:rsidR="0050169D" w:rsidRDefault="0050169D" w:rsidP="006026FE">
      <w:pPr>
        <w:spacing w:line="276" w:lineRule="auto"/>
        <w:jc w:val="both"/>
      </w:pPr>
    </w:p>
    <w:p w:rsidR="0050169D" w:rsidRDefault="0050169D" w:rsidP="006026FE">
      <w:pPr>
        <w:spacing w:line="276" w:lineRule="auto"/>
        <w:jc w:val="both"/>
      </w:pPr>
    </w:p>
    <w:p w:rsidR="0050169D" w:rsidRDefault="0050169D" w:rsidP="006026FE">
      <w:pPr>
        <w:spacing w:line="276" w:lineRule="auto"/>
        <w:jc w:val="both"/>
      </w:pPr>
    </w:p>
    <w:p w:rsidR="004D6747" w:rsidRDefault="004D6747" w:rsidP="006026FE">
      <w:pPr>
        <w:spacing w:line="276" w:lineRule="auto"/>
        <w:jc w:val="both"/>
      </w:pPr>
    </w:p>
    <w:p w:rsidR="004D6747" w:rsidRDefault="004D6747" w:rsidP="006026FE">
      <w:pPr>
        <w:spacing w:line="276" w:lineRule="auto"/>
        <w:jc w:val="both"/>
      </w:pPr>
    </w:p>
    <w:p w:rsidR="004D6747" w:rsidRDefault="004D6747" w:rsidP="006026FE">
      <w:pPr>
        <w:spacing w:line="276" w:lineRule="auto"/>
        <w:jc w:val="both"/>
      </w:pPr>
    </w:p>
    <w:p w:rsidR="004D6747" w:rsidRDefault="004D6747" w:rsidP="006026FE">
      <w:pPr>
        <w:spacing w:line="276" w:lineRule="auto"/>
        <w:jc w:val="both"/>
      </w:pPr>
    </w:p>
    <w:p w:rsidR="0050604D" w:rsidRDefault="0050604D" w:rsidP="006026FE">
      <w:pPr>
        <w:spacing w:line="276" w:lineRule="auto"/>
        <w:jc w:val="both"/>
      </w:pPr>
    </w:p>
    <w:p w:rsidR="0050604D" w:rsidRDefault="0050604D" w:rsidP="006026FE">
      <w:pPr>
        <w:spacing w:line="276" w:lineRule="auto"/>
        <w:jc w:val="both"/>
      </w:pPr>
    </w:p>
    <w:p w:rsidR="004D6747" w:rsidRPr="004D6747" w:rsidRDefault="004D6747" w:rsidP="006026FE">
      <w:pPr>
        <w:spacing w:line="276" w:lineRule="auto"/>
        <w:jc w:val="both"/>
      </w:pPr>
    </w:p>
    <w:p w:rsidR="0050169D" w:rsidRPr="004D6747" w:rsidRDefault="0050169D" w:rsidP="006026FE">
      <w:pPr>
        <w:pStyle w:val="Titre1"/>
        <w:spacing w:line="276" w:lineRule="auto"/>
        <w:ind w:left="3540" w:firstLine="708"/>
        <w:rPr>
          <w:sz w:val="22"/>
        </w:rPr>
      </w:pPr>
      <w:r w:rsidRPr="00E44B94">
        <w:t xml:space="preserve">Ouagadougou, le </w:t>
      </w:r>
      <w:r w:rsidR="00A720C5">
        <w:t>20</w:t>
      </w:r>
      <w:r w:rsidR="00655314">
        <w:t xml:space="preserve"> Mars</w:t>
      </w:r>
      <w:r w:rsidR="004D6747">
        <w:t xml:space="preserve"> 2018</w:t>
      </w:r>
    </w:p>
    <w:p w:rsidR="0050169D" w:rsidRDefault="0050169D" w:rsidP="006026FE">
      <w:pPr>
        <w:spacing w:line="276" w:lineRule="auto"/>
        <w:ind w:left="4108" w:right="284" w:firstLine="424"/>
        <w:jc w:val="both"/>
        <w:rPr>
          <w:b/>
        </w:rPr>
      </w:pPr>
    </w:p>
    <w:p w:rsidR="0050169D" w:rsidRPr="00A72155" w:rsidRDefault="0050169D" w:rsidP="006026FE">
      <w:pPr>
        <w:spacing w:line="276" w:lineRule="auto"/>
        <w:ind w:left="4108" w:right="284" w:firstLine="424"/>
        <w:jc w:val="both"/>
        <w:rPr>
          <w:b/>
        </w:rPr>
      </w:pPr>
      <w:r w:rsidRPr="00A72155">
        <w:rPr>
          <w:b/>
        </w:rPr>
        <w:t>A</w:t>
      </w:r>
    </w:p>
    <w:p w:rsidR="0050169D" w:rsidRPr="00A72155" w:rsidRDefault="0050169D" w:rsidP="006026FE">
      <w:pPr>
        <w:spacing w:line="276" w:lineRule="auto"/>
        <w:ind w:left="284" w:right="284"/>
        <w:jc w:val="both"/>
        <w:rPr>
          <w:b/>
          <w:i/>
        </w:rPr>
      </w:pPr>
    </w:p>
    <w:p w:rsidR="0050169D" w:rsidRDefault="0050169D" w:rsidP="006026FE">
      <w:pPr>
        <w:spacing w:line="276" w:lineRule="auto"/>
        <w:ind w:left="3400" w:right="284" w:firstLine="140"/>
        <w:jc w:val="both"/>
        <w:rPr>
          <w:b/>
        </w:rPr>
      </w:pPr>
      <w:r>
        <w:rPr>
          <w:b/>
        </w:rPr>
        <w:t>Monsieur le Secrétaire Exécutif de l’Agence</w:t>
      </w:r>
    </w:p>
    <w:p w:rsidR="0050169D" w:rsidRPr="00F85EE6" w:rsidRDefault="0050169D" w:rsidP="006026FE">
      <w:pPr>
        <w:spacing w:line="276" w:lineRule="auto"/>
        <w:ind w:left="3400" w:right="284" w:firstLine="140"/>
        <w:jc w:val="both"/>
        <w:rPr>
          <w:b/>
          <w:bCs/>
          <w:sz w:val="22"/>
          <w:szCs w:val="22"/>
        </w:rPr>
      </w:pPr>
      <w:r>
        <w:rPr>
          <w:b/>
        </w:rPr>
        <w:t xml:space="preserve">de Régulation des Marchés Publics </w:t>
      </w:r>
    </w:p>
    <w:p w:rsidR="0050169D" w:rsidRPr="00F85EE6" w:rsidRDefault="00F2267D" w:rsidP="006026FE">
      <w:pPr>
        <w:autoSpaceDE w:val="0"/>
        <w:autoSpaceDN w:val="0"/>
        <w:adjustRightInd w:val="0"/>
        <w:spacing w:line="276" w:lineRule="auto"/>
        <w:ind w:left="3540"/>
        <w:jc w:val="both"/>
        <w:rPr>
          <w:b/>
        </w:rPr>
      </w:pPr>
      <w:r w:rsidRPr="00F85EE6">
        <w:rPr>
          <w:b/>
          <w:bCs/>
          <w:sz w:val="22"/>
          <w:szCs w:val="22"/>
        </w:rPr>
        <w:t xml:space="preserve">BP </w:t>
      </w:r>
      <w:r>
        <w:rPr>
          <w:b/>
          <w:bCs/>
          <w:sz w:val="22"/>
          <w:szCs w:val="22"/>
        </w:rPr>
        <w:t>723 Niamey - NIGER</w:t>
      </w:r>
    </w:p>
    <w:p w:rsidR="0050169D" w:rsidRDefault="0050169D" w:rsidP="006026FE">
      <w:pPr>
        <w:tabs>
          <w:tab w:val="left" w:pos="5511"/>
        </w:tabs>
        <w:spacing w:line="276" w:lineRule="auto"/>
        <w:jc w:val="both"/>
      </w:pPr>
    </w:p>
    <w:p w:rsidR="003C449E" w:rsidRPr="004044A3" w:rsidRDefault="003C449E" w:rsidP="003C449E">
      <w:pPr>
        <w:tabs>
          <w:tab w:val="left" w:pos="5511"/>
        </w:tabs>
        <w:spacing w:line="276" w:lineRule="auto"/>
        <w:jc w:val="both"/>
        <w:rPr>
          <w:i/>
        </w:rPr>
      </w:pPr>
      <w:r w:rsidRPr="004044A3">
        <w:rPr>
          <w:b/>
          <w:i/>
          <w:u w:val="single"/>
        </w:rPr>
        <w:t>Objet </w:t>
      </w:r>
      <w:r w:rsidRPr="004044A3">
        <w:rPr>
          <w:i/>
        </w:rPr>
        <w:t>: Rapport de synthèse</w:t>
      </w:r>
    </w:p>
    <w:p w:rsidR="003C449E" w:rsidRPr="004044A3" w:rsidRDefault="003C449E" w:rsidP="003C449E">
      <w:pPr>
        <w:tabs>
          <w:tab w:val="left" w:pos="5511"/>
        </w:tabs>
        <w:spacing w:line="276" w:lineRule="auto"/>
        <w:jc w:val="both"/>
        <w:rPr>
          <w:i/>
        </w:rPr>
      </w:pPr>
      <w:r w:rsidRPr="004044A3">
        <w:rPr>
          <w:i/>
        </w:rPr>
        <w:t xml:space="preserve">Audit des marchés publics et des délégations </w:t>
      </w:r>
    </w:p>
    <w:p w:rsidR="003C449E" w:rsidRPr="004044A3" w:rsidRDefault="003C449E" w:rsidP="003C449E">
      <w:pPr>
        <w:tabs>
          <w:tab w:val="left" w:pos="5511"/>
        </w:tabs>
        <w:spacing w:line="276" w:lineRule="auto"/>
        <w:jc w:val="both"/>
        <w:rPr>
          <w:i/>
        </w:rPr>
      </w:pPr>
      <w:r w:rsidRPr="004044A3">
        <w:rPr>
          <w:i/>
        </w:rPr>
        <w:t xml:space="preserve">de services publics de l’audit 2015-Lot </w:t>
      </w:r>
      <w:r w:rsidR="001D3701">
        <w:rPr>
          <w:i/>
        </w:rPr>
        <w:t>2</w:t>
      </w:r>
    </w:p>
    <w:p w:rsidR="003C449E" w:rsidRDefault="003C449E" w:rsidP="006026FE">
      <w:pPr>
        <w:tabs>
          <w:tab w:val="left" w:pos="5511"/>
        </w:tabs>
        <w:spacing w:line="276" w:lineRule="auto"/>
        <w:jc w:val="both"/>
      </w:pPr>
    </w:p>
    <w:p w:rsidR="0050169D" w:rsidRDefault="0050169D" w:rsidP="006026FE">
      <w:pPr>
        <w:tabs>
          <w:tab w:val="left" w:pos="5511"/>
        </w:tabs>
        <w:spacing w:line="276" w:lineRule="auto"/>
        <w:jc w:val="both"/>
      </w:pPr>
      <w:r>
        <w:t>Monsieur le Secrétaire Exécutif</w:t>
      </w:r>
      <w:r w:rsidRPr="00A72155">
        <w:t>,</w:t>
      </w:r>
    </w:p>
    <w:p w:rsidR="003C449E" w:rsidRPr="00A72155" w:rsidRDefault="003C449E" w:rsidP="006026FE">
      <w:pPr>
        <w:tabs>
          <w:tab w:val="left" w:pos="5511"/>
        </w:tabs>
        <w:spacing w:line="276" w:lineRule="auto"/>
        <w:jc w:val="both"/>
      </w:pPr>
    </w:p>
    <w:p w:rsidR="00986924" w:rsidRPr="00A72155" w:rsidRDefault="00986924" w:rsidP="006026FE">
      <w:pPr>
        <w:autoSpaceDE w:val="0"/>
        <w:autoSpaceDN w:val="0"/>
        <w:adjustRightInd w:val="0"/>
        <w:spacing w:line="276" w:lineRule="auto"/>
        <w:jc w:val="both"/>
      </w:pPr>
      <w:r w:rsidRPr="00A72155">
        <w:t xml:space="preserve">En exécution de la mission que vous nous avez </w:t>
      </w:r>
      <w:r>
        <w:t>confiée</w:t>
      </w:r>
      <w:r w:rsidRPr="00A72155">
        <w:t xml:space="preserve">, nous avons procédé à </w:t>
      </w:r>
      <w:r>
        <w:t>l’audit des marchés publics et des délégations de s</w:t>
      </w:r>
      <w:r w:rsidR="004D6747">
        <w:t xml:space="preserve">ervice public de l’année 2015 des autorités contractantes qui composent le lot </w:t>
      </w:r>
      <w:r w:rsidR="00866FB1">
        <w:t>2</w:t>
      </w:r>
      <w:r w:rsidR="004D6747">
        <w:t>.</w:t>
      </w:r>
    </w:p>
    <w:p w:rsidR="0050169D" w:rsidRDefault="0050169D" w:rsidP="006026FE">
      <w:pPr>
        <w:autoSpaceDE w:val="0"/>
        <w:autoSpaceDN w:val="0"/>
        <w:adjustRightInd w:val="0"/>
        <w:spacing w:line="276" w:lineRule="auto"/>
        <w:jc w:val="both"/>
      </w:pPr>
      <w:r w:rsidRPr="00A72155">
        <w:t xml:space="preserve">A l’issue de nos travaux, nous avons l’honneur de vous soumettre notre rapport </w:t>
      </w:r>
      <w:r>
        <w:t xml:space="preserve">de synthèse des </w:t>
      </w:r>
      <w:r w:rsidR="002E04EA">
        <w:t>autorités contractantes du lot 2</w:t>
      </w:r>
      <w:r>
        <w:t>.</w:t>
      </w:r>
      <w:r w:rsidR="00521628">
        <w:t xml:space="preserve"> </w:t>
      </w:r>
      <w:r>
        <w:t xml:space="preserve">Ce rapport comprend </w:t>
      </w:r>
      <w:r w:rsidRPr="00A72155">
        <w:t xml:space="preserve">les </w:t>
      </w:r>
      <w:r>
        <w:t>sections</w:t>
      </w:r>
      <w:r w:rsidRPr="00A72155">
        <w:t xml:space="preserve"> suivant</w:t>
      </w:r>
      <w:r>
        <w:t>es</w:t>
      </w:r>
      <w:r w:rsidRPr="00A72155">
        <w:t> :</w:t>
      </w:r>
    </w:p>
    <w:p w:rsidR="00986924" w:rsidRPr="00A72155" w:rsidRDefault="00986924" w:rsidP="006026FE">
      <w:pPr>
        <w:autoSpaceDE w:val="0"/>
        <w:autoSpaceDN w:val="0"/>
        <w:adjustRightInd w:val="0"/>
        <w:spacing w:line="276" w:lineRule="auto"/>
        <w:jc w:val="both"/>
      </w:pPr>
    </w:p>
    <w:p w:rsidR="00986924" w:rsidRPr="005D6EA2" w:rsidRDefault="00986924" w:rsidP="00D10A01">
      <w:pPr>
        <w:pStyle w:val="Paragraphedeliste"/>
        <w:numPr>
          <w:ilvl w:val="0"/>
          <w:numId w:val="23"/>
        </w:numPr>
        <w:autoSpaceDE w:val="0"/>
        <w:autoSpaceDN w:val="0"/>
        <w:adjustRightInd w:val="0"/>
        <w:spacing w:line="276" w:lineRule="auto"/>
        <w:jc w:val="both"/>
        <w:rPr>
          <w:bCs/>
        </w:rPr>
      </w:pPr>
      <w:r w:rsidRPr="005D6EA2">
        <w:rPr>
          <w:bCs/>
        </w:rPr>
        <w:t>Présentation de la mission d’audit</w:t>
      </w:r>
    </w:p>
    <w:p w:rsidR="00986924" w:rsidRPr="005D6EA2" w:rsidRDefault="00986924" w:rsidP="00D10A01">
      <w:pPr>
        <w:pStyle w:val="Paragraphedeliste"/>
        <w:numPr>
          <w:ilvl w:val="0"/>
          <w:numId w:val="23"/>
        </w:numPr>
        <w:spacing w:line="276" w:lineRule="auto"/>
        <w:jc w:val="both"/>
      </w:pPr>
      <w:r w:rsidRPr="005D6EA2">
        <w:t>Méthodologie mise en œuvre</w:t>
      </w:r>
    </w:p>
    <w:p w:rsidR="00986924" w:rsidRPr="005D6EA2" w:rsidRDefault="00986924" w:rsidP="00D10A01">
      <w:pPr>
        <w:pStyle w:val="Paragraphedeliste"/>
        <w:numPr>
          <w:ilvl w:val="0"/>
          <w:numId w:val="23"/>
        </w:numPr>
        <w:spacing w:line="276" w:lineRule="auto"/>
        <w:jc w:val="both"/>
      </w:pPr>
      <w:r w:rsidRPr="005D6EA2">
        <w:t xml:space="preserve">Le dispositif institutionnel de la passation des marchés publics </w:t>
      </w:r>
    </w:p>
    <w:p w:rsidR="00986924" w:rsidRPr="005D6EA2" w:rsidRDefault="00986924" w:rsidP="00D10A01">
      <w:pPr>
        <w:pStyle w:val="Paragraphedeliste"/>
        <w:numPr>
          <w:ilvl w:val="0"/>
          <w:numId w:val="23"/>
        </w:numPr>
        <w:spacing w:line="276" w:lineRule="auto"/>
        <w:jc w:val="both"/>
      </w:pPr>
      <w:r w:rsidRPr="005D6EA2">
        <w:t>Présentation de l’échantillonnage</w:t>
      </w:r>
    </w:p>
    <w:p w:rsidR="00986924" w:rsidRPr="005D6EA2" w:rsidRDefault="00986924" w:rsidP="00D10A01">
      <w:pPr>
        <w:pStyle w:val="Paragraphedeliste"/>
        <w:numPr>
          <w:ilvl w:val="0"/>
          <w:numId w:val="23"/>
        </w:numPr>
        <w:spacing w:line="276" w:lineRule="auto"/>
        <w:jc w:val="both"/>
      </w:pPr>
      <w:r w:rsidRPr="005D6EA2">
        <w:t xml:space="preserve">Principaux constats et recommandations </w:t>
      </w:r>
    </w:p>
    <w:p w:rsidR="0050169D" w:rsidRDefault="0050169D" w:rsidP="006026FE">
      <w:pPr>
        <w:pStyle w:val="Corpsdetexte"/>
        <w:spacing w:line="276" w:lineRule="auto"/>
      </w:pPr>
    </w:p>
    <w:p w:rsidR="0050169D" w:rsidRPr="009E1D41" w:rsidRDefault="004D6747" w:rsidP="006026FE">
      <w:pPr>
        <w:pStyle w:val="Corpsdetexte"/>
        <w:spacing w:line="276" w:lineRule="auto"/>
      </w:pPr>
      <w:r w:rsidRPr="001041F2">
        <w:t>Nous vous prions de croire</w:t>
      </w:r>
      <w:r w:rsidR="0050169D" w:rsidRPr="006D42E2">
        <w:t>, Monsieur le Secrétaire Exécutif, l’expression de notre parfaite considération.</w:t>
      </w:r>
    </w:p>
    <w:p w:rsidR="0050169D" w:rsidRPr="00A72155" w:rsidRDefault="0050169D" w:rsidP="006026FE">
      <w:pPr>
        <w:tabs>
          <w:tab w:val="left" w:pos="5511"/>
        </w:tabs>
        <w:spacing w:line="276" w:lineRule="auto"/>
        <w:jc w:val="both"/>
      </w:pPr>
    </w:p>
    <w:p w:rsidR="0050169D" w:rsidRPr="00A72155" w:rsidRDefault="0050169D" w:rsidP="006026FE">
      <w:pPr>
        <w:spacing w:line="276" w:lineRule="auto"/>
        <w:ind w:left="4248" w:right="284" w:firstLine="708"/>
        <w:jc w:val="both"/>
        <w:rPr>
          <w:b/>
          <w:u w:val="single"/>
        </w:rPr>
      </w:pPr>
      <w:r w:rsidRPr="00A72155">
        <w:rPr>
          <w:b/>
          <w:u w:val="single"/>
        </w:rPr>
        <w:t>Le Gérant</w:t>
      </w:r>
    </w:p>
    <w:p w:rsidR="0050169D" w:rsidRPr="00A72155" w:rsidRDefault="0050169D" w:rsidP="006026FE">
      <w:pPr>
        <w:spacing w:line="276" w:lineRule="auto"/>
        <w:ind w:left="4248" w:right="284" w:firstLine="708"/>
        <w:jc w:val="both"/>
      </w:pPr>
      <w:r w:rsidRPr="00A72155">
        <w:rPr>
          <w:b/>
        </w:rPr>
        <w:t>Adama KY</w:t>
      </w:r>
    </w:p>
    <w:p w:rsidR="0050169D" w:rsidRPr="00A72155" w:rsidRDefault="0050169D" w:rsidP="006026FE">
      <w:pPr>
        <w:spacing w:line="276" w:lineRule="auto"/>
        <w:ind w:left="3540" w:right="284" w:firstLine="708"/>
        <w:jc w:val="both"/>
      </w:pPr>
      <w:r w:rsidRPr="00A72155">
        <w:t>Expert-Comptable diplômé d</w:t>
      </w:r>
      <w:r w:rsidRPr="00A72155">
        <w:rPr>
          <w:caps/>
        </w:rPr>
        <w:t>'é</w:t>
      </w:r>
      <w:r w:rsidRPr="00A72155">
        <w:t>tat</w:t>
      </w:r>
    </w:p>
    <w:p w:rsidR="0050169D" w:rsidRPr="00A72155" w:rsidRDefault="0050169D" w:rsidP="006026FE">
      <w:pPr>
        <w:spacing w:line="276" w:lineRule="auto"/>
        <w:ind w:left="3540" w:right="284" w:firstLine="708"/>
        <w:jc w:val="both"/>
      </w:pPr>
      <w:r w:rsidRPr="00A72155">
        <w:t>Commissaire aux comptes de Sociétés</w:t>
      </w:r>
    </w:p>
    <w:p w:rsidR="0050169D" w:rsidRDefault="0050169D" w:rsidP="006026FE">
      <w:pPr>
        <w:spacing w:line="276" w:lineRule="auto"/>
        <w:ind w:left="3540" w:right="284" w:firstLine="708"/>
        <w:jc w:val="both"/>
      </w:pPr>
      <w:r w:rsidRPr="00A72155">
        <w:t>Inscrit au tableau de l'ONECCA-BF</w:t>
      </w:r>
    </w:p>
    <w:p w:rsidR="0050169D" w:rsidRDefault="0050169D" w:rsidP="006026FE">
      <w:pPr>
        <w:spacing w:line="276" w:lineRule="auto"/>
        <w:ind w:left="3540" w:right="284" w:firstLine="708"/>
        <w:jc w:val="both"/>
      </w:pPr>
    </w:p>
    <w:p w:rsidR="0050169D" w:rsidRDefault="0050169D" w:rsidP="006026FE">
      <w:pPr>
        <w:spacing w:line="276" w:lineRule="auto"/>
        <w:ind w:left="3540" w:right="284" w:firstLine="708"/>
        <w:jc w:val="both"/>
      </w:pPr>
    </w:p>
    <w:p w:rsidR="0050169D" w:rsidRDefault="0050169D" w:rsidP="006026FE">
      <w:pPr>
        <w:spacing w:line="276" w:lineRule="auto"/>
        <w:ind w:left="3540" w:right="284" w:firstLine="708"/>
        <w:jc w:val="both"/>
      </w:pPr>
    </w:p>
    <w:p w:rsidR="0050169D" w:rsidRDefault="0050169D" w:rsidP="006026FE">
      <w:pPr>
        <w:spacing w:line="276" w:lineRule="auto"/>
        <w:ind w:left="3540" w:right="284" w:firstLine="708"/>
        <w:jc w:val="both"/>
      </w:pPr>
    </w:p>
    <w:p w:rsidR="0050169D" w:rsidRDefault="0050169D" w:rsidP="006026FE">
      <w:pPr>
        <w:spacing w:line="276" w:lineRule="auto"/>
        <w:ind w:left="3540" w:right="284" w:firstLine="708"/>
        <w:jc w:val="both"/>
      </w:pPr>
    </w:p>
    <w:p w:rsidR="0050169D" w:rsidRDefault="0050169D" w:rsidP="006026FE">
      <w:pPr>
        <w:spacing w:line="276" w:lineRule="auto"/>
        <w:ind w:left="3540" w:right="284" w:firstLine="708"/>
        <w:jc w:val="both"/>
      </w:pPr>
    </w:p>
    <w:p w:rsidR="0050169D" w:rsidRDefault="0050169D" w:rsidP="006026FE">
      <w:pPr>
        <w:spacing w:line="276" w:lineRule="auto"/>
        <w:ind w:left="3540" w:right="284" w:firstLine="708"/>
        <w:jc w:val="both"/>
      </w:pPr>
    </w:p>
    <w:p w:rsidR="0050169D" w:rsidRDefault="0050169D" w:rsidP="006026FE">
      <w:pPr>
        <w:spacing w:line="276" w:lineRule="auto"/>
        <w:ind w:left="3540" w:right="284" w:firstLine="708"/>
        <w:jc w:val="both"/>
      </w:pPr>
    </w:p>
    <w:p w:rsidR="0050169D" w:rsidRDefault="0050169D" w:rsidP="006026FE">
      <w:pPr>
        <w:autoSpaceDE w:val="0"/>
        <w:autoSpaceDN w:val="0"/>
        <w:adjustRightInd w:val="0"/>
        <w:spacing w:line="276" w:lineRule="auto"/>
        <w:jc w:val="both"/>
        <w:rPr>
          <w:b/>
          <w:bCs/>
        </w:rPr>
      </w:pPr>
    </w:p>
    <w:p w:rsidR="004D6747" w:rsidRDefault="004D6747" w:rsidP="006026FE">
      <w:pPr>
        <w:autoSpaceDE w:val="0"/>
        <w:autoSpaceDN w:val="0"/>
        <w:adjustRightInd w:val="0"/>
        <w:spacing w:line="276" w:lineRule="auto"/>
        <w:jc w:val="both"/>
        <w:rPr>
          <w:b/>
          <w:bCs/>
        </w:rPr>
      </w:pPr>
    </w:p>
    <w:p w:rsidR="004D6747" w:rsidRDefault="004D6747" w:rsidP="006026FE">
      <w:pPr>
        <w:autoSpaceDE w:val="0"/>
        <w:autoSpaceDN w:val="0"/>
        <w:adjustRightInd w:val="0"/>
        <w:spacing w:line="276" w:lineRule="auto"/>
        <w:jc w:val="both"/>
        <w:rPr>
          <w:b/>
          <w:bCs/>
        </w:rPr>
      </w:pPr>
    </w:p>
    <w:p w:rsidR="0050169D" w:rsidRDefault="0050169D" w:rsidP="006026FE">
      <w:pPr>
        <w:autoSpaceDE w:val="0"/>
        <w:autoSpaceDN w:val="0"/>
        <w:adjustRightInd w:val="0"/>
        <w:spacing w:line="276" w:lineRule="auto"/>
        <w:jc w:val="both"/>
        <w:rPr>
          <w:b/>
          <w:bCs/>
        </w:rPr>
      </w:pPr>
    </w:p>
    <w:p w:rsidR="0050169D" w:rsidRDefault="0050169D" w:rsidP="006026FE">
      <w:pPr>
        <w:autoSpaceDE w:val="0"/>
        <w:autoSpaceDN w:val="0"/>
        <w:adjustRightInd w:val="0"/>
        <w:spacing w:line="276" w:lineRule="auto"/>
        <w:jc w:val="both"/>
        <w:rPr>
          <w:b/>
          <w:bCs/>
        </w:rPr>
      </w:pPr>
    </w:p>
    <w:p w:rsidR="0050169D" w:rsidRDefault="0050169D" w:rsidP="006026FE">
      <w:pPr>
        <w:autoSpaceDE w:val="0"/>
        <w:autoSpaceDN w:val="0"/>
        <w:adjustRightInd w:val="0"/>
        <w:spacing w:line="276" w:lineRule="auto"/>
        <w:jc w:val="both"/>
        <w:rPr>
          <w:b/>
          <w:bCs/>
        </w:rPr>
      </w:pPr>
    </w:p>
    <w:p w:rsidR="004D6747" w:rsidRDefault="004D6747" w:rsidP="006026FE">
      <w:pPr>
        <w:autoSpaceDE w:val="0"/>
        <w:autoSpaceDN w:val="0"/>
        <w:adjustRightInd w:val="0"/>
        <w:spacing w:line="276" w:lineRule="auto"/>
        <w:jc w:val="both"/>
        <w:rPr>
          <w:b/>
          <w:bCs/>
        </w:rPr>
      </w:pPr>
    </w:p>
    <w:p w:rsidR="004D6747" w:rsidRDefault="004D6747" w:rsidP="006026FE">
      <w:pPr>
        <w:autoSpaceDE w:val="0"/>
        <w:autoSpaceDN w:val="0"/>
        <w:adjustRightInd w:val="0"/>
        <w:spacing w:line="276" w:lineRule="auto"/>
        <w:jc w:val="both"/>
        <w:rPr>
          <w:b/>
          <w:bCs/>
        </w:rPr>
      </w:pPr>
    </w:p>
    <w:p w:rsidR="004D6747" w:rsidRDefault="004D6747" w:rsidP="006026FE">
      <w:pPr>
        <w:autoSpaceDE w:val="0"/>
        <w:autoSpaceDN w:val="0"/>
        <w:adjustRightInd w:val="0"/>
        <w:spacing w:line="276" w:lineRule="auto"/>
        <w:jc w:val="both"/>
        <w:rPr>
          <w:b/>
          <w:bCs/>
        </w:rPr>
      </w:pPr>
    </w:p>
    <w:p w:rsidR="006026FE" w:rsidRDefault="006026FE" w:rsidP="006026FE">
      <w:pPr>
        <w:autoSpaceDE w:val="0"/>
        <w:autoSpaceDN w:val="0"/>
        <w:adjustRightInd w:val="0"/>
        <w:spacing w:line="276" w:lineRule="auto"/>
        <w:jc w:val="both"/>
        <w:rPr>
          <w:b/>
          <w:bCs/>
        </w:rPr>
      </w:pPr>
    </w:p>
    <w:p w:rsidR="006026FE" w:rsidRDefault="006026FE" w:rsidP="006026FE">
      <w:pPr>
        <w:autoSpaceDE w:val="0"/>
        <w:autoSpaceDN w:val="0"/>
        <w:adjustRightInd w:val="0"/>
        <w:spacing w:line="276" w:lineRule="auto"/>
        <w:jc w:val="both"/>
        <w:rPr>
          <w:b/>
          <w:bCs/>
        </w:rPr>
      </w:pPr>
    </w:p>
    <w:p w:rsidR="006026FE" w:rsidRDefault="006026FE" w:rsidP="006026FE">
      <w:pPr>
        <w:autoSpaceDE w:val="0"/>
        <w:autoSpaceDN w:val="0"/>
        <w:adjustRightInd w:val="0"/>
        <w:spacing w:line="276" w:lineRule="auto"/>
        <w:jc w:val="both"/>
        <w:rPr>
          <w:b/>
          <w:bCs/>
        </w:rPr>
      </w:pPr>
    </w:p>
    <w:p w:rsidR="006026FE" w:rsidRDefault="006026FE" w:rsidP="006026FE">
      <w:pPr>
        <w:autoSpaceDE w:val="0"/>
        <w:autoSpaceDN w:val="0"/>
        <w:adjustRightInd w:val="0"/>
        <w:spacing w:line="276" w:lineRule="auto"/>
        <w:jc w:val="both"/>
        <w:rPr>
          <w:b/>
          <w:bCs/>
        </w:rPr>
      </w:pPr>
    </w:p>
    <w:p w:rsidR="0050169D" w:rsidRDefault="0050169D" w:rsidP="006026FE">
      <w:pPr>
        <w:autoSpaceDE w:val="0"/>
        <w:autoSpaceDN w:val="0"/>
        <w:adjustRightInd w:val="0"/>
        <w:spacing w:line="276" w:lineRule="auto"/>
        <w:jc w:val="both"/>
        <w:rPr>
          <w:b/>
          <w:bCs/>
        </w:rPr>
      </w:pPr>
    </w:p>
    <w:p w:rsidR="0050169D" w:rsidRDefault="00A93D2F" w:rsidP="006026FE">
      <w:pPr>
        <w:autoSpaceDE w:val="0"/>
        <w:autoSpaceDN w:val="0"/>
        <w:adjustRightInd w:val="0"/>
        <w:spacing w:line="276" w:lineRule="auto"/>
        <w:jc w:val="both"/>
        <w:rPr>
          <w:b/>
          <w:bCs/>
        </w:rPr>
      </w:pPr>
      <w:r>
        <w:rPr>
          <w:b/>
          <w:bCs/>
          <w:noProof/>
        </w:rPr>
        <w:pict>
          <v:roundrect id="AutoShape 5" o:spid="_x0000_s1027" style="position:absolute;left:0;text-align:left;margin-left:74.5pt;margin-top:8.1pt;width:344.25pt;height:31.2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" strokecolor="#9cc2e5" strokeweight="1pt">
            <v:fill color2="#bdd6ee" focus="100%" type="gradient"/>
            <v:shadow on="t" color="#1f4d78" opacity=".5" offset="1pt"/>
            <v:textbox>
              <w:txbxContent>
                <w:p w:rsidR="00E9635E" w:rsidRPr="000003BE" w:rsidRDefault="00E9635E" w:rsidP="0050169D">
                  <w:pPr>
                    <w:autoSpaceDE w:val="0"/>
                    <w:autoSpaceDN w:val="0"/>
                    <w:adjustRightInd w:val="0"/>
                    <w:spacing w:line="360" w:lineRule="auto"/>
                    <w:jc w:val="center"/>
                    <w:rPr>
                      <w:b/>
                      <w:bCs/>
                    </w:rPr>
                  </w:pPr>
                  <w:r>
                    <w:rPr>
                      <w:b/>
                      <w:bCs/>
                    </w:rPr>
                    <w:t xml:space="preserve">I- </w:t>
                  </w:r>
                  <w:r w:rsidRPr="000003BE">
                    <w:rPr>
                      <w:b/>
                      <w:bCs/>
                    </w:rPr>
                    <w:t>PRESENTATION DE LA MISSION D’AUDIT</w:t>
                  </w:r>
                </w:p>
                <w:p w:rsidR="00E9635E" w:rsidRDefault="00E9635E" w:rsidP="0050169D"/>
              </w:txbxContent>
            </v:textbox>
          </v:roundrect>
        </w:pict>
      </w:r>
    </w:p>
    <w:p w:rsidR="0050169D" w:rsidRDefault="0050169D" w:rsidP="006026FE">
      <w:pPr>
        <w:autoSpaceDE w:val="0"/>
        <w:autoSpaceDN w:val="0"/>
        <w:adjustRightInd w:val="0"/>
        <w:spacing w:line="276" w:lineRule="auto"/>
        <w:jc w:val="both"/>
        <w:rPr>
          <w:b/>
          <w:bCs/>
        </w:rPr>
      </w:pPr>
    </w:p>
    <w:p w:rsidR="0050169D" w:rsidRDefault="0050169D" w:rsidP="006026FE">
      <w:pPr>
        <w:autoSpaceDE w:val="0"/>
        <w:autoSpaceDN w:val="0"/>
        <w:adjustRightInd w:val="0"/>
        <w:spacing w:line="276" w:lineRule="auto"/>
        <w:jc w:val="both"/>
        <w:rPr>
          <w:b/>
          <w:bCs/>
        </w:rPr>
      </w:pPr>
    </w:p>
    <w:p w:rsidR="0050169D" w:rsidRDefault="0050169D" w:rsidP="006026FE">
      <w:pPr>
        <w:autoSpaceDE w:val="0"/>
        <w:autoSpaceDN w:val="0"/>
        <w:adjustRightInd w:val="0"/>
        <w:spacing w:line="276" w:lineRule="auto"/>
        <w:jc w:val="both"/>
        <w:rPr>
          <w:b/>
          <w:bCs/>
        </w:rPr>
      </w:pPr>
    </w:p>
    <w:p w:rsidR="0050169D" w:rsidRDefault="0050169D" w:rsidP="006026FE">
      <w:pPr>
        <w:autoSpaceDE w:val="0"/>
        <w:autoSpaceDN w:val="0"/>
        <w:adjustRightInd w:val="0"/>
        <w:spacing w:line="276" w:lineRule="auto"/>
        <w:jc w:val="both"/>
        <w:rPr>
          <w:b/>
          <w:bCs/>
        </w:rPr>
      </w:pPr>
    </w:p>
    <w:p w:rsidR="0050169D" w:rsidRDefault="0050169D" w:rsidP="006026FE">
      <w:pPr>
        <w:autoSpaceDE w:val="0"/>
        <w:autoSpaceDN w:val="0"/>
        <w:adjustRightInd w:val="0"/>
        <w:spacing w:line="276" w:lineRule="auto"/>
        <w:jc w:val="both"/>
        <w:rPr>
          <w:b/>
          <w:bCs/>
        </w:rPr>
      </w:pPr>
    </w:p>
    <w:p w:rsidR="0050169D" w:rsidRDefault="0050169D" w:rsidP="006026FE">
      <w:pPr>
        <w:autoSpaceDE w:val="0"/>
        <w:autoSpaceDN w:val="0"/>
        <w:adjustRightInd w:val="0"/>
        <w:spacing w:line="276" w:lineRule="auto"/>
        <w:jc w:val="both"/>
        <w:rPr>
          <w:b/>
          <w:bCs/>
        </w:rPr>
      </w:pPr>
    </w:p>
    <w:p w:rsidR="0050169D" w:rsidRDefault="0050169D" w:rsidP="006026FE">
      <w:pPr>
        <w:autoSpaceDE w:val="0"/>
        <w:autoSpaceDN w:val="0"/>
        <w:adjustRightInd w:val="0"/>
        <w:spacing w:line="276" w:lineRule="auto"/>
        <w:jc w:val="both"/>
        <w:rPr>
          <w:b/>
          <w:bCs/>
        </w:rPr>
      </w:pPr>
    </w:p>
    <w:p w:rsidR="0050169D" w:rsidRDefault="0050169D" w:rsidP="006026FE">
      <w:pPr>
        <w:autoSpaceDE w:val="0"/>
        <w:autoSpaceDN w:val="0"/>
        <w:adjustRightInd w:val="0"/>
        <w:spacing w:line="276" w:lineRule="auto"/>
        <w:jc w:val="both"/>
        <w:rPr>
          <w:b/>
          <w:bCs/>
        </w:rPr>
      </w:pPr>
    </w:p>
    <w:p w:rsidR="0050169D" w:rsidRDefault="0050169D" w:rsidP="006026FE">
      <w:pPr>
        <w:autoSpaceDE w:val="0"/>
        <w:autoSpaceDN w:val="0"/>
        <w:adjustRightInd w:val="0"/>
        <w:spacing w:line="276" w:lineRule="auto"/>
        <w:jc w:val="both"/>
        <w:rPr>
          <w:b/>
          <w:bCs/>
        </w:rPr>
      </w:pPr>
    </w:p>
    <w:p w:rsidR="0050169D" w:rsidRDefault="0050169D" w:rsidP="006026FE">
      <w:pPr>
        <w:autoSpaceDE w:val="0"/>
        <w:autoSpaceDN w:val="0"/>
        <w:adjustRightInd w:val="0"/>
        <w:spacing w:line="276" w:lineRule="auto"/>
        <w:jc w:val="both"/>
        <w:rPr>
          <w:b/>
          <w:bCs/>
        </w:rPr>
      </w:pPr>
    </w:p>
    <w:p w:rsidR="0050169D" w:rsidRDefault="0050169D" w:rsidP="006026FE">
      <w:pPr>
        <w:autoSpaceDE w:val="0"/>
        <w:autoSpaceDN w:val="0"/>
        <w:adjustRightInd w:val="0"/>
        <w:spacing w:line="276" w:lineRule="auto"/>
        <w:jc w:val="both"/>
        <w:rPr>
          <w:b/>
          <w:bCs/>
        </w:rPr>
      </w:pPr>
    </w:p>
    <w:p w:rsidR="0050169D" w:rsidRDefault="0050169D" w:rsidP="006026FE">
      <w:pPr>
        <w:autoSpaceDE w:val="0"/>
        <w:autoSpaceDN w:val="0"/>
        <w:adjustRightInd w:val="0"/>
        <w:spacing w:line="276" w:lineRule="auto"/>
        <w:jc w:val="both"/>
        <w:rPr>
          <w:b/>
          <w:bCs/>
        </w:rPr>
      </w:pPr>
    </w:p>
    <w:p w:rsidR="0050169D" w:rsidRDefault="0050169D" w:rsidP="006026FE">
      <w:pPr>
        <w:autoSpaceDE w:val="0"/>
        <w:autoSpaceDN w:val="0"/>
        <w:adjustRightInd w:val="0"/>
        <w:spacing w:line="276" w:lineRule="auto"/>
        <w:jc w:val="both"/>
        <w:rPr>
          <w:b/>
          <w:bCs/>
        </w:rPr>
      </w:pPr>
    </w:p>
    <w:p w:rsidR="0050169D" w:rsidRDefault="0050169D" w:rsidP="006026FE">
      <w:pPr>
        <w:autoSpaceDE w:val="0"/>
        <w:autoSpaceDN w:val="0"/>
        <w:adjustRightInd w:val="0"/>
        <w:spacing w:line="276" w:lineRule="auto"/>
        <w:jc w:val="both"/>
        <w:rPr>
          <w:b/>
          <w:bCs/>
        </w:rPr>
      </w:pPr>
    </w:p>
    <w:p w:rsidR="0050169D" w:rsidRDefault="0050169D" w:rsidP="006026FE">
      <w:pPr>
        <w:autoSpaceDE w:val="0"/>
        <w:autoSpaceDN w:val="0"/>
        <w:adjustRightInd w:val="0"/>
        <w:spacing w:line="276" w:lineRule="auto"/>
        <w:jc w:val="both"/>
        <w:rPr>
          <w:b/>
          <w:bCs/>
        </w:rPr>
      </w:pPr>
    </w:p>
    <w:p w:rsidR="0050169D" w:rsidRDefault="0050169D" w:rsidP="006026FE">
      <w:pPr>
        <w:autoSpaceDE w:val="0"/>
        <w:autoSpaceDN w:val="0"/>
        <w:adjustRightInd w:val="0"/>
        <w:spacing w:line="276" w:lineRule="auto"/>
        <w:jc w:val="both"/>
        <w:rPr>
          <w:b/>
          <w:bCs/>
        </w:rPr>
      </w:pPr>
    </w:p>
    <w:p w:rsidR="003E31AD" w:rsidRDefault="003E31AD" w:rsidP="006026FE">
      <w:pPr>
        <w:autoSpaceDE w:val="0"/>
        <w:autoSpaceDN w:val="0"/>
        <w:adjustRightInd w:val="0"/>
        <w:spacing w:line="276" w:lineRule="auto"/>
        <w:jc w:val="both"/>
        <w:rPr>
          <w:b/>
          <w:bCs/>
        </w:rPr>
      </w:pPr>
    </w:p>
    <w:p w:rsidR="003E31AD" w:rsidRDefault="003E31AD" w:rsidP="006026FE">
      <w:pPr>
        <w:autoSpaceDE w:val="0"/>
        <w:autoSpaceDN w:val="0"/>
        <w:adjustRightInd w:val="0"/>
        <w:spacing w:line="276" w:lineRule="auto"/>
        <w:jc w:val="both"/>
        <w:rPr>
          <w:b/>
          <w:bCs/>
        </w:rPr>
      </w:pPr>
    </w:p>
    <w:p w:rsidR="003E31AD" w:rsidRDefault="003E31AD" w:rsidP="006026FE">
      <w:pPr>
        <w:autoSpaceDE w:val="0"/>
        <w:autoSpaceDN w:val="0"/>
        <w:adjustRightInd w:val="0"/>
        <w:spacing w:line="276" w:lineRule="auto"/>
        <w:jc w:val="both"/>
        <w:rPr>
          <w:b/>
          <w:bCs/>
        </w:rPr>
      </w:pPr>
    </w:p>
    <w:p w:rsidR="003E31AD" w:rsidRDefault="003E31AD" w:rsidP="006026FE">
      <w:pPr>
        <w:autoSpaceDE w:val="0"/>
        <w:autoSpaceDN w:val="0"/>
        <w:adjustRightInd w:val="0"/>
        <w:spacing w:line="276" w:lineRule="auto"/>
        <w:jc w:val="both"/>
        <w:rPr>
          <w:b/>
          <w:bCs/>
        </w:rPr>
      </w:pPr>
    </w:p>
    <w:p w:rsidR="003E31AD" w:rsidRDefault="003E31AD" w:rsidP="006026FE">
      <w:pPr>
        <w:autoSpaceDE w:val="0"/>
        <w:autoSpaceDN w:val="0"/>
        <w:adjustRightInd w:val="0"/>
        <w:spacing w:line="276" w:lineRule="auto"/>
        <w:jc w:val="both"/>
        <w:rPr>
          <w:b/>
          <w:bCs/>
        </w:rPr>
      </w:pPr>
    </w:p>
    <w:p w:rsidR="00A720C5" w:rsidRDefault="00A720C5" w:rsidP="006026FE">
      <w:pPr>
        <w:autoSpaceDE w:val="0"/>
        <w:autoSpaceDN w:val="0"/>
        <w:adjustRightInd w:val="0"/>
        <w:spacing w:line="276" w:lineRule="auto"/>
        <w:jc w:val="both"/>
        <w:rPr>
          <w:b/>
          <w:bCs/>
        </w:rPr>
      </w:pPr>
    </w:p>
    <w:p w:rsidR="003E31AD" w:rsidRDefault="003E31AD" w:rsidP="006026FE">
      <w:pPr>
        <w:autoSpaceDE w:val="0"/>
        <w:autoSpaceDN w:val="0"/>
        <w:adjustRightInd w:val="0"/>
        <w:spacing w:line="276" w:lineRule="auto"/>
        <w:jc w:val="both"/>
        <w:rPr>
          <w:b/>
          <w:bCs/>
        </w:rPr>
      </w:pPr>
    </w:p>
    <w:p w:rsidR="003E31AD" w:rsidRDefault="003E31AD" w:rsidP="006026FE">
      <w:pPr>
        <w:autoSpaceDE w:val="0"/>
        <w:autoSpaceDN w:val="0"/>
        <w:adjustRightInd w:val="0"/>
        <w:spacing w:line="276" w:lineRule="auto"/>
        <w:jc w:val="both"/>
        <w:rPr>
          <w:b/>
          <w:bCs/>
        </w:rPr>
      </w:pPr>
    </w:p>
    <w:p w:rsidR="00242C54" w:rsidRDefault="00242C54" w:rsidP="006026FE">
      <w:pPr>
        <w:pStyle w:val="Corpsdetexte"/>
        <w:spacing w:line="276" w:lineRule="auto"/>
        <w:ind w:right="170"/>
        <w:rPr>
          <w:b/>
          <w:bCs/>
        </w:rPr>
      </w:pPr>
    </w:p>
    <w:p w:rsidR="005E2402" w:rsidRPr="00814950" w:rsidRDefault="005E2402" w:rsidP="006026FE">
      <w:pPr>
        <w:pStyle w:val="Corpsdetexte"/>
        <w:spacing w:line="276" w:lineRule="auto"/>
        <w:ind w:right="170"/>
        <w:rPr>
          <w:b/>
        </w:rPr>
      </w:pPr>
      <w:r w:rsidRPr="00814950">
        <w:rPr>
          <w:b/>
        </w:rPr>
        <w:t xml:space="preserve">1.1 Contexte et justification </w:t>
      </w:r>
    </w:p>
    <w:p w:rsidR="005E2402" w:rsidRPr="005F126A" w:rsidRDefault="005E2402" w:rsidP="006026FE">
      <w:pPr>
        <w:spacing w:line="276" w:lineRule="auto"/>
        <w:jc w:val="both"/>
      </w:pPr>
      <w:r w:rsidRPr="005F126A">
        <w:t>Autorité Administrative Indépendante depuis la mise en œuvre de la réforme des marchés publics, l’Agence de Régulation des Marchés Publics est investie de</w:t>
      </w:r>
      <w:r>
        <w:t>s</w:t>
      </w:r>
      <w:r w:rsidRPr="005F126A">
        <w:t xml:space="preserve"> missions telles que définies à l’article 08 de la Loi 2011-37 du 28 Octobre 2011 portant principes généraux, contrôle et régulation des Marchés Publics et des Délégations de service public. </w:t>
      </w:r>
    </w:p>
    <w:p w:rsidR="005E2402" w:rsidRPr="00814950" w:rsidRDefault="005E2402" w:rsidP="006026FE">
      <w:pPr>
        <w:pStyle w:val="Corpsdetexte"/>
        <w:spacing w:line="276" w:lineRule="auto"/>
      </w:pPr>
      <w:r w:rsidRPr="00814950">
        <w:t xml:space="preserve">Aussi, en application des dispositions de l’article 179 du Décret N°2013-569/PRN/PM du 20 Décembre 2013 portant Code des marchés publics et des délégations de service public, l’ARMP a l’obligation de commander à la fin de chaque exercice budgétaire, un audit indépendant sur un échantillon aléatoire de marchés passés par les Autorités Contractantes ci-après : l’Etat, les Collectivités Territoriales, les Etablissements Publics, les Sociétés d’Etat et les Sociétés à participation financière publique majoritaire ainsi que les Personnes Morales de droit privé agissant pour le compte de l’Etat ou de Personnes Morales de droit public, lorsqu’elles bénéficient de leur concours financier ou de leur garantie.  </w:t>
      </w:r>
    </w:p>
    <w:p w:rsidR="005E2402" w:rsidRPr="00814950" w:rsidRDefault="005E2402" w:rsidP="006026FE">
      <w:pPr>
        <w:pStyle w:val="Corpsdetexte"/>
        <w:spacing w:line="276" w:lineRule="auto"/>
      </w:pPr>
      <w:r w:rsidRPr="00814950">
        <w:t>Ces audits doivent apporter des réponses appropriées aux multiples abus et dérives de toutes sortes constatés dans le domaine de la commande publique.</w:t>
      </w:r>
    </w:p>
    <w:p w:rsidR="005E2402" w:rsidRPr="005F126A" w:rsidRDefault="005E2402" w:rsidP="006026FE">
      <w:pPr>
        <w:pStyle w:val="Corpsdetexte"/>
        <w:spacing w:line="276" w:lineRule="auto"/>
      </w:pPr>
      <w:r w:rsidRPr="00814950">
        <w:t>A ce titre, l’Agence de Régulation des Marchés Publics se propose de commander un audit indépendant des marchés publics et des délégations de service public de l’année 2015.</w:t>
      </w:r>
    </w:p>
    <w:p w:rsidR="005E2402" w:rsidRDefault="005E2402" w:rsidP="006026FE">
      <w:pPr>
        <w:spacing w:line="276" w:lineRule="auto"/>
        <w:jc w:val="both"/>
        <w:rPr>
          <w:b/>
        </w:rPr>
      </w:pPr>
    </w:p>
    <w:p w:rsidR="005E2402" w:rsidRPr="000003BE" w:rsidRDefault="005E2402" w:rsidP="006026FE">
      <w:pPr>
        <w:spacing w:line="276" w:lineRule="auto"/>
        <w:jc w:val="both"/>
        <w:rPr>
          <w:b/>
        </w:rPr>
      </w:pPr>
      <w:r>
        <w:rPr>
          <w:b/>
        </w:rPr>
        <w:t xml:space="preserve">1.2 </w:t>
      </w:r>
      <w:r w:rsidRPr="000003BE">
        <w:rPr>
          <w:b/>
        </w:rPr>
        <w:t>Objectif global de l’audit</w:t>
      </w:r>
    </w:p>
    <w:p w:rsidR="005E2402" w:rsidRPr="00814950" w:rsidRDefault="005E2402" w:rsidP="006026FE">
      <w:pPr>
        <w:pStyle w:val="Corpsdetexte"/>
        <w:spacing w:line="276" w:lineRule="auto"/>
      </w:pPr>
      <w:r w:rsidRPr="00814950">
        <w:t>Le consultant devra principalement dégager un jugement sur la préparation, la gestion et la qualité des prestations du marché ou de la délégation à auditer. Ce jugement sera rendu par référence aux directives communautaires applicables, aux dispositions du Code des Marchés Publics et des Délégations de Service Public et de ses textes d’application, aux documents et standards internationaux.</w:t>
      </w:r>
    </w:p>
    <w:p w:rsidR="005E2402" w:rsidRDefault="005E2402" w:rsidP="006026FE">
      <w:pPr>
        <w:pStyle w:val="Corpsdetexte"/>
        <w:spacing w:line="276" w:lineRule="auto"/>
      </w:pPr>
    </w:p>
    <w:p w:rsidR="005E2402" w:rsidRPr="00814950" w:rsidRDefault="005E2402" w:rsidP="006026FE">
      <w:pPr>
        <w:pStyle w:val="Corpsdetexte"/>
        <w:spacing w:line="276" w:lineRule="auto"/>
        <w:rPr>
          <w:b/>
        </w:rPr>
      </w:pPr>
      <w:r w:rsidRPr="00814950">
        <w:rPr>
          <w:b/>
        </w:rPr>
        <w:t>1.3 Objectifs spécifiques de l’audit</w:t>
      </w:r>
    </w:p>
    <w:p w:rsidR="005E2402" w:rsidRPr="00814950" w:rsidRDefault="005E2402" w:rsidP="006026FE">
      <w:pPr>
        <w:pStyle w:val="Corpsdetexte"/>
        <w:spacing w:line="276" w:lineRule="auto"/>
      </w:pPr>
      <w:r w:rsidRPr="00814950">
        <w:t xml:space="preserve">Les objectifs spécifiques assignés au consultant sont d'effectuer un audit de conformité, technique, financier, mais aussi de performance (efficacité et efficience), des marchés de travaux, de fournitures et services, de prestations intellectuelles et des délégations de service public passés par les Autorités Contractantes au cours de la période allant du 1er Janvier au 31 Décembre de l’année 2015. </w:t>
      </w:r>
    </w:p>
    <w:p w:rsidR="005E2402" w:rsidRDefault="005E2402" w:rsidP="006026FE">
      <w:pPr>
        <w:spacing w:line="276" w:lineRule="auto"/>
        <w:jc w:val="both"/>
        <w:rPr>
          <w:b/>
        </w:rPr>
      </w:pPr>
    </w:p>
    <w:p w:rsidR="00242C54" w:rsidRDefault="00242C54" w:rsidP="006026FE">
      <w:pPr>
        <w:spacing w:line="276" w:lineRule="auto"/>
        <w:jc w:val="both"/>
        <w:rPr>
          <w:b/>
        </w:rPr>
      </w:pPr>
    </w:p>
    <w:p w:rsidR="005E2402" w:rsidRPr="001B2AA5" w:rsidRDefault="005E2402" w:rsidP="006026FE">
      <w:pPr>
        <w:spacing w:line="276" w:lineRule="auto"/>
        <w:jc w:val="both"/>
        <w:rPr>
          <w:b/>
        </w:rPr>
      </w:pPr>
      <w:r w:rsidRPr="001B2AA5">
        <w:rPr>
          <w:b/>
        </w:rPr>
        <w:t>1.4 Etendue de l’audit</w:t>
      </w:r>
    </w:p>
    <w:p w:rsidR="005E2402" w:rsidRPr="00814950" w:rsidRDefault="005E2402" w:rsidP="006026FE">
      <w:pPr>
        <w:spacing w:line="276" w:lineRule="auto"/>
        <w:jc w:val="both"/>
      </w:pPr>
      <w:r w:rsidRPr="005F126A">
        <w:t xml:space="preserve">L’audit portera sur un échantillon aléatoire et multisectoriel de marchés publics et de délégations de service public et devra garantir une certaine représentativité par nature de dépenses (travaux, fournitures, services  et prestations intellectuelles) et fournir suffisamment d’informations afin de tirer des conclusions pertinentes et des recommandations fiables. </w:t>
      </w:r>
    </w:p>
    <w:p w:rsidR="005E2402" w:rsidRDefault="005E2402" w:rsidP="006026FE">
      <w:pPr>
        <w:pStyle w:val="Corpsdetexte"/>
        <w:spacing w:line="276" w:lineRule="auto"/>
        <w:ind w:right="170"/>
        <w:rPr>
          <w:b/>
        </w:rPr>
      </w:pPr>
    </w:p>
    <w:p w:rsidR="006026FE" w:rsidRDefault="006026FE" w:rsidP="006026FE">
      <w:pPr>
        <w:pStyle w:val="Corpsdetexte"/>
        <w:spacing w:line="276" w:lineRule="auto"/>
        <w:ind w:right="170"/>
        <w:rPr>
          <w:b/>
        </w:rPr>
      </w:pPr>
    </w:p>
    <w:p w:rsidR="006026FE" w:rsidRDefault="006026FE" w:rsidP="006026FE">
      <w:pPr>
        <w:pStyle w:val="Corpsdetexte"/>
        <w:spacing w:line="276" w:lineRule="auto"/>
        <w:ind w:right="170"/>
        <w:rPr>
          <w:b/>
        </w:rPr>
      </w:pPr>
    </w:p>
    <w:p w:rsidR="006026FE" w:rsidRDefault="006026FE" w:rsidP="006026FE">
      <w:pPr>
        <w:pStyle w:val="Corpsdetexte"/>
        <w:spacing w:line="276" w:lineRule="auto"/>
        <w:ind w:right="170"/>
        <w:rPr>
          <w:b/>
        </w:rPr>
      </w:pPr>
    </w:p>
    <w:p w:rsidR="005E2402" w:rsidRPr="00814950" w:rsidRDefault="005E2402" w:rsidP="006026FE">
      <w:pPr>
        <w:pStyle w:val="Corpsdetexte"/>
        <w:spacing w:line="276" w:lineRule="auto"/>
        <w:ind w:right="170"/>
        <w:rPr>
          <w:b/>
        </w:rPr>
      </w:pPr>
      <w:r w:rsidRPr="00814950">
        <w:rPr>
          <w:b/>
        </w:rPr>
        <w:t>1.5 Les principales tâches de l’auditeur</w:t>
      </w:r>
    </w:p>
    <w:p w:rsidR="005E2402" w:rsidRPr="0017408D" w:rsidRDefault="005E2402" w:rsidP="006026FE">
      <w:pPr>
        <w:spacing w:line="276" w:lineRule="auto"/>
        <w:jc w:val="both"/>
      </w:pPr>
      <w:r w:rsidRPr="0017408D">
        <w:t>En tenant compte des Normes Internationales d’Audit (International Standards on Auditing, « ISA »), et des bonnes pratiques observées au plan international en matière d’audit, le consultant effectuera les missions suivantes :</w:t>
      </w:r>
    </w:p>
    <w:p w:rsidR="005E2402" w:rsidRPr="0017408D" w:rsidRDefault="005E2402" w:rsidP="00D10A01">
      <w:pPr>
        <w:pStyle w:val="Paragraphedeliste"/>
        <w:numPr>
          <w:ilvl w:val="0"/>
          <w:numId w:val="2"/>
        </w:numPr>
        <w:spacing w:line="276" w:lineRule="auto"/>
        <w:jc w:val="both"/>
      </w:pPr>
      <w:r w:rsidRPr="0017408D">
        <w:t xml:space="preserve">La vérification de la performance des opérations ; </w:t>
      </w:r>
    </w:p>
    <w:p w:rsidR="005E2402" w:rsidRPr="0017408D" w:rsidRDefault="005E2402" w:rsidP="00D10A01">
      <w:pPr>
        <w:pStyle w:val="Paragraphedeliste"/>
        <w:numPr>
          <w:ilvl w:val="0"/>
          <w:numId w:val="2"/>
        </w:numPr>
        <w:spacing w:line="276" w:lineRule="auto"/>
        <w:jc w:val="both"/>
      </w:pPr>
      <w:r w:rsidRPr="0017408D">
        <w:rPr>
          <w:bCs/>
        </w:rPr>
        <w:t>La vérification de</w:t>
      </w:r>
      <w:r w:rsidRPr="0017408D">
        <w:t xml:space="preserve"> la conformité technique et la qualité des prestations exécutées ;</w:t>
      </w:r>
    </w:p>
    <w:p w:rsidR="005E2402" w:rsidRPr="0017408D" w:rsidRDefault="005E2402" w:rsidP="00D10A01">
      <w:pPr>
        <w:pStyle w:val="Paragraphedeliste"/>
        <w:numPr>
          <w:ilvl w:val="0"/>
          <w:numId w:val="2"/>
        </w:numPr>
        <w:spacing w:line="276" w:lineRule="auto"/>
        <w:jc w:val="both"/>
      </w:pPr>
      <w:r w:rsidRPr="0017408D">
        <w:t>La bonne conduite générale et contractuelle du marché</w:t>
      </w:r>
    </w:p>
    <w:p w:rsidR="005E2402" w:rsidRPr="0017408D" w:rsidRDefault="005E2402" w:rsidP="00D10A01">
      <w:pPr>
        <w:pStyle w:val="Paragraphedeliste"/>
        <w:numPr>
          <w:ilvl w:val="0"/>
          <w:numId w:val="2"/>
        </w:numPr>
        <w:spacing w:line="276" w:lineRule="auto"/>
        <w:jc w:val="both"/>
      </w:pPr>
      <w:r w:rsidRPr="0017408D">
        <w:t>La conformité des opérations financières.</w:t>
      </w:r>
    </w:p>
    <w:p w:rsidR="005E2402" w:rsidRPr="005F126A" w:rsidRDefault="005E2402" w:rsidP="00D10A01">
      <w:pPr>
        <w:pStyle w:val="Paragraphedeliste"/>
        <w:numPr>
          <w:ilvl w:val="0"/>
          <w:numId w:val="2"/>
        </w:numPr>
        <w:spacing w:line="276" w:lineRule="auto"/>
        <w:jc w:val="both"/>
      </w:pPr>
      <w:r w:rsidRPr="0017408D">
        <w:t>La formulation des recommandations.</w:t>
      </w:r>
    </w:p>
    <w:p w:rsidR="005E2402" w:rsidRDefault="005E2402" w:rsidP="006026FE">
      <w:pPr>
        <w:spacing w:line="276" w:lineRule="auto"/>
        <w:jc w:val="both"/>
        <w:rPr>
          <w:b/>
        </w:rPr>
      </w:pPr>
    </w:p>
    <w:p w:rsidR="005E2402" w:rsidRPr="000003BE" w:rsidRDefault="005E2402" w:rsidP="006026FE">
      <w:pPr>
        <w:spacing w:line="276" w:lineRule="auto"/>
        <w:jc w:val="both"/>
        <w:rPr>
          <w:b/>
        </w:rPr>
      </w:pPr>
      <w:r>
        <w:rPr>
          <w:b/>
        </w:rPr>
        <w:t>1.6 R</w:t>
      </w:r>
      <w:r w:rsidRPr="000003BE">
        <w:rPr>
          <w:b/>
        </w:rPr>
        <w:t>ésultats attendus</w:t>
      </w:r>
    </w:p>
    <w:p w:rsidR="005E2402" w:rsidRPr="005F126A" w:rsidRDefault="005E2402" w:rsidP="006026FE">
      <w:pPr>
        <w:spacing w:line="276" w:lineRule="auto"/>
        <w:jc w:val="both"/>
      </w:pPr>
      <w:r w:rsidRPr="005F126A">
        <w:t>Les résultats à atteindre sont les suivants :</w:t>
      </w:r>
    </w:p>
    <w:p w:rsidR="005E2402" w:rsidRPr="005F126A" w:rsidRDefault="005E2402" w:rsidP="00D10A01">
      <w:pPr>
        <w:pStyle w:val="Paragraphedeliste"/>
        <w:numPr>
          <w:ilvl w:val="0"/>
          <w:numId w:val="1"/>
        </w:numPr>
        <w:spacing w:line="276" w:lineRule="auto"/>
        <w:jc w:val="both"/>
      </w:pPr>
      <w:r w:rsidRPr="005F126A">
        <w:t>Le recensement de tous les documents existants (plans et notes de calculs) et appréciation de leurs qualités et compatibilité avec les prestations exécutées ;</w:t>
      </w:r>
    </w:p>
    <w:p w:rsidR="005E2402" w:rsidRPr="005F126A" w:rsidRDefault="005E2402" w:rsidP="00D10A01">
      <w:pPr>
        <w:pStyle w:val="Paragraphedeliste"/>
        <w:numPr>
          <w:ilvl w:val="0"/>
          <w:numId w:val="1"/>
        </w:numPr>
        <w:spacing w:line="276" w:lineRule="auto"/>
        <w:jc w:val="both"/>
      </w:pPr>
      <w:r w:rsidRPr="005F126A">
        <w:t>Le recensement de toutes les irrégularités commises au regard des réglementations communautaires, nationales et des règles et standards internationaux ;</w:t>
      </w:r>
    </w:p>
    <w:p w:rsidR="005E2402" w:rsidRPr="005F126A" w:rsidRDefault="005E2402" w:rsidP="00D10A01">
      <w:pPr>
        <w:pStyle w:val="Paragraphedeliste"/>
        <w:numPr>
          <w:ilvl w:val="0"/>
          <w:numId w:val="1"/>
        </w:numPr>
        <w:spacing w:line="276" w:lineRule="auto"/>
        <w:jc w:val="both"/>
      </w:pPr>
      <w:r w:rsidRPr="005F126A">
        <w:t>L’appréciation de la performance des opérations des marchés audités ; les conclusions présentées par le Consultant à ce niveau devront résulter d’une vérification faite en tenant compte des critères de performance retenus par la Commission de l’UEMOA ;</w:t>
      </w:r>
    </w:p>
    <w:p w:rsidR="005E2402" w:rsidRPr="005F126A" w:rsidRDefault="005E2402" w:rsidP="00D10A01">
      <w:pPr>
        <w:pStyle w:val="Paragraphedeliste"/>
        <w:numPr>
          <w:ilvl w:val="0"/>
          <w:numId w:val="1"/>
        </w:numPr>
        <w:spacing w:line="276" w:lineRule="auto"/>
        <w:jc w:val="both"/>
      </w:pPr>
      <w:r w:rsidRPr="005F126A">
        <w:t>Pour chaque Autorité Contractante contenue dans son échantillon, et grâce aux indicateurs de suivi et de contrôle qu’il a établis en conformité avec ceux définis par la commission de l’UEMOA, le Consultant formulera une opinion sur les performances des Autorités Contractantes par rapport auxdits indicateurs ;</w:t>
      </w:r>
    </w:p>
    <w:p w:rsidR="005E2402" w:rsidRPr="005F126A" w:rsidRDefault="005E2402" w:rsidP="00D10A01">
      <w:pPr>
        <w:pStyle w:val="Paragraphedeliste"/>
        <w:numPr>
          <w:ilvl w:val="0"/>
          <w:numId w:val="1"/>
        </w:numPr>
        <w:spacing w:line="276" w:lineRule="auto"/>
        <w:jc w:val="both"/>
      </w:pPr>
      <w:r w:rsidRPr="005F126A">
        <w:t>L’appréciation de la qualité technique des prestations, ainsi que de leur conformité avec les spécifications contractuelles ;</w:t>
      </w:r>
    </w:p>
    <w:p w:rsidR="005E2402" w:rsidRDefault="005E2402" w:rsidP="00D10A01">
      <w:pPr>
        <w:pStyle w:val="Paragraphedeliste"/>
        <w:numPr>
          <w:ilvl w:val="0"/>
          <w:numId w:val="1"/>
        </w:numPr>
        <w:spacing w:line="276" w:lineRule="auto"/>
        <w:jc w:val="both"/>
      </w:pPr>
      <w:r w:rsidRPr="005F126A">
        <w:t>La formulation des recommandations concernant le respect par l’entreprise de ses obligations contractuelles, la qualité technique et l'utilité des équipements réalisés.</w:t>
      </w:r>
    </w:p>
    <w:p w:rsidR="00C72FBC" w:rsidRDefault="00C72FBC"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3E31AD" w:rsidRDefault="003E31AD" w:rsidP="006026FE">
      <w:pPr>
        <w:spacing w:line="276" w:lineRule="auto"/>
        <w:jc w:val="both"/>
        <w:rPr>
          <w:b/>
        </w:rPr>
      </w:pPr>
    </w:p>
    <w:p w:rsidR="003E31AD" w:rsidRDefault="003E31AD" w:rsidP="006026FE">
      <w:pPr>
        <w:spacing w:line="276" w:lineRule="auto"/>
        <w:jc w:val="both"/>
        <w:rPr>
          <w:b/>
        </w:rPr>
      </w:pPr>
    </w:p>
    <w:p w:rsidR="003E31AD" w:rsidRDefault="003E31AD" w:rsidP="006026FE">
      <w:pPr>
        <w:spacing w:line="276" w:lineRule="auto"/>
        <w:jc w:val="both"/>
        <w:rPr>
          <w:b/>
        </w:rPr>
      </w:pPr>
    </w:p>
    <w:p w:rsidR="003E31AD" w:rsidRDefault="003E31AD" w:rsidP="006026FE">
      <w:pPr>
        <w:spacing w:line="276" w:lineRule="auto"/>
        <w:jc w:val="both"/>
        <w:rPr>
          <w:b/>
        </w:rPr>
      </w:pPr>
    </w:p>
    <w:p w:rsidR="003E31AD" w:rsidRDefault="003E31AD" w:rsidP="006026FE">
      <w:pPr>
        <w:spacing w:line="276" w:lineRule="auto"/>
        <w:jc w:val="both"/>
        <w:rPr>
          <w:b/>
        </w:rPr>
      </w:pPr>
    </w:p>
    <w:p w:rsidR="003E31AD" w:rsidRDefault="003E31AD" w:rsidP="006026FE">
      <w:pPr>
        <w:spacing w:line="276" w:lineRule="auto"/>
        <w:jc w:val="both"/>
        <w:rPr>
          <w:b/>
        </w:rPr>
      </w:pPr>
    </w:p>
    <w:p w:rsidR="003E31AD" w:rsidRDefault="003E31AD" w:rsidP="006026FE">
      <w:pPr>
        <w:spacing w:line="276" w:lineRule="auto"/>
        <w:jc w:val="both"/>
        <w:rPr>
          <w:b/>
        </w:rPr>
      </w:pPr>
    </w:p>
    <w:p w:rsidR="003E31AD" w:rsidRDefault="003E31AD" w:rsidP="006026FE">
      <w:pPr>
        <w:spacing w:line="276" w:lineRule="auto"/>
        <w:jc w:val="both"/>
        <w:rPr>
          <w:b/>
        </w:rPr>
      </w:pPr>
    </w:p>
    <w:p w:rsidR="003E31AD" w:rsidRDefault="003E31AD" w:rsidP="006026FE">
      <w:pPr>
        <w:spacing w:line="276" w:lineRule="auto"/>
        <w:jc w:val="both"/>
        <w:rPr>
          <w:b/>
        </w:rPr>
      </w:pPr>
    </w:p>
    <w:p w:rsidR="003E31AD" w:rsidRDefault="003E31AD" w:rsidP="006026FE">
      <w:pPr>
        <w:spacing w:line="276" w:lineRule="auto"/>
        <w:jc w:val="both"/>
        <w:rPr>
          <w:b/>
        </w:rPr>
      </w:pPr>
    </w:p>
    <w:p w:rsidR="003E31AD" w:rsidRDefault="003E31AD" w:rsidP="006026FE">
      <w:pPr>
        <w:spacing w:line="276" w:lineRule="auto"/>
        <w:jc w:val="both"/>
        <w:rPr>
          <w:b/>
        </w:rPr>
      </w:pPr>
    </w:p>
    <w:p w:rsidR="003E31AD" w:rsidRDefault="003E31AD" w:rsidP="006026FE">
      <w:pPr>
        <w:spacing w:line="276" w:lineRule="auto"/>
        <w:jc w:val="both"/>
        <w:rPr>
          <w:b/>
        </w:rPr>
      </w:pPr>
    </w:p>
    <w:p w:rsidR="003E31AD" w:rsidRDefault="003E31AD" w:rsidP="006026FE">
      <w:pPr>
        <w:spacing w:line="276" w:lineRule="auto"/>
        <w:jc w:val="both"/>
        <w:rPr>
          <w:b/>
        </w:rPr>
      </w:pPr>
    </w:p>
    <w:p w:rsidR="003E31AD" w:rsidRDefault="003E31AD" w:rsidP="006026FE">
      <w:pPr>
        <w:spacing w:line="276" w:lineRule="auto"/>
        <w:jc w:val="both"/>
        <w:rPr>
          <w:b/>
        </w:rPr>
      </w:pPr>
    </w:p>
    <w:p w:rsidR="003E31AD" w:rsidRDefault="003E31AD" w:rsidP="006026FE">
      <w:pPr>
        <w:spacing w:line="276" w:lineRule="auto"/>
        <w:jc w:val="both"/>
        <w:rPr>
          <w:b/>
        </w:rPr>
      </w:pPr>
    </w:p>
    <w:p w:rsidR="00C72FBC" w:rsidRDefault="00C72FBC" w:rsidP="006026FE">
      <w:pPr>
        <w:spacing w:line="276" w:lineRule="auto"/>
        <w:jc w:val="both"/>
        <w:rPr>
          <w:b/>
        </w:rPr>
      </w:pPr>
    </w:p>
    <w:p w:rsidR="00242C54" w:rsidRDefault="00A93D2F" w:rsidP="006026FE">
      <w:pPr>
        <w:autoSpaceDE w:val="0"/>
        <w:autoSpaceDN w:val="0"/>
        <w:adjustRightInd w:val="0"/>
        <w:spacing w:line="276" w:lineRule="auto"/>
        <w:jc w:val="both"/>
        <w:rPr>
          <w:b/>
          <w:bCs/>
        </w:rPr>
      </w:pPr>
      <w:r>
        <w:rPr>
          <w:b/>
          <w:bCs/>
          <w:noProof/>
        </w:rPr>
        <w:pict>
          <v:roundrect id="_x0000_s1028" style="position:absolute;left:0;text-align:left;margin-left:74.5pt;margin-top:8.1pt;width:344.25pt;height:31.2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" strokecolor="#9cc2e5" strokeweight="1pt">
            <v:fill color2="#bdd6ee" focus="100%" type="gradient"/>
            <v:shadow on="t" color="#1f4d78" opacity=".5" offset="1pt"/>
            <v:textbox>
              <w:txbxContent>
                <w:p w:rsidR="00E9635E" w:rsidRPr="00242C54" w:rsidRDefault="00E9635E" w:rsidP="00242C54">
                  <w:pPr>
                    <w:spacing w:line="360" w:lineRule="auto"/>
                    <w:jc w:val="center"/>
                    <w:rPr>
                      <w:b/>
                      <w:sz w:val="28"/>
                      <w:szCs w:val="28"/>
                    </w:rPr>
                  </w:pPr>
                  <w:r w:rsidRPr="00242C54">
                    <w:rPr>
                      <w:b/>
                      <w:sz w:val="28"/>
                      <w:szCs w:val="28"/>
                    </w:rPr>
                    <w:t>II</w:t>
                  </w:r>
                  <w:r>
                    <w:rPr>
                      <w:b/>
                      <w:sz w:val="28"/>
                      <w:szCs w:val="28"/>
                    </w:rPr>
                    <w:t>-</w:t>
                  </w:r>
                  <w:r w:rsidRPr="00242C54">
                    <w:rPr>
                      <w:b/>
                      <w:sz w:val="28"/>
                      <w:szCs w:val="28"/>
                    </w:rPr>
                    <w:t xml:space="preserve"> METHODOLOGIE MISE EN ŒUVRE</w:t>
                  </w:r>
                </w:p>
                <w:p w:rsidR="00E9635E" w:rsidRDefault="00E9635E" w:rsidP="00242C54"/>
              </w:txbxContent>
            </v:textbox>
          </v:roundrect>
        </w:pict>
      </w: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3E31AD" w:rsidRDefault="003E31AD" w:rsidP="006026FE">
      <w:pPr>
        <w:spacing w:line="276" w:lineRule="auto"/>
        <w:jc w:val="both"/>
        <w:rPr>
          <w:b/>
        </w:rPr>
      </w:pPr>
    </w:p>
    <w:p w:rsidR="003E31AD" w:rsidRDefault="003E31AD" w:rsidP="006026FE">
      <w:pPr>
        <w:spacing w:line="276" w:lineRule="auto"/>
        <w:jc w:val="both"/>
        <w:rPr>
          <w:b/>
        </w:rPr>
      </w:pPr>
    </w:p>
    <w:p w:rsidR="003E31AD" w:rsidRDefault="003E31AD" w:rsidP="006026FE">
      <w:pPr>
        <w:spacing w:line="276" w:lineRule="auto"/>
        <w:jc w:val="both"/>
        <w:rPr>
          <w:b/>
        </w:rPr>
      </w:pPr>
    </w:p>
    <w:p w:rsidR="003E31AD" w:rsidRDefault="003E31AD" w:rsidP="006026FE">
      <w:pPr>
        <w:spacing w:line="276" w:lineRule="auto"/>
        <w:jc w:val="both"/>
        <w:rPr>
          <w:b/>
        </w:rPr>
      </w:pPr>
    </w:p>
    <w:p w:rsidR="00A720C5" w:rsidRDefault="00A720C5" w:rsidP="006026FE">
      <w:pPr>
        <w:spacing w:line="276" w:lineRule="auto"/>
        <w:jc w:val="both"/>
        <w:rPr>
          <w:b/>
        </w:rPr>
      </w:pPr>
    </w:p>
    <w:p w:rsidR="00A720C5" w:rsidRDefault="00A720C5" w:rsidP="006026FE">
      <w:pPr>
        <w:spacing w:line="276" w:lineRule="auto"/>
        <w:jc w:val="both"/>
        <w:rPr>
          <w:b/>
        </w:rPr>
      </w:pPr>
    </w:p>
    <w:p w:rsidR="00A720C5" w:rsidRDefault="00A720C5" w:rsidP="006026FE">
      <w:pPr>
        <w:spacing w:line="276" w:lineRule="auto"/>
        <w:jc w:val="both"/>
        <w:rPr>
          <w:b/>
        </w:rPr>
      </w:pPr>
    </w:p>
    <w:p w:rsidR="003E31AD" w:rsidRDefault="003E31AD" w:rsidP="006026FE">
      <w:pPr>
        <w:spacing w:line="276" w:lineRule="auto"/>
        <w:jc w:val="both"/>
        <w:rPr>
          <w:b/>
        </w:rPr>
      </w:pPr>
    </w:p>
    <w:p w:rsidR="00C72FBC" w:rsidRDefault="00C72FBC" w:rsidP="006026FE">
      <w:pPr>
        <w:spacing w:line="276" w:lineRule="auto"/>
        <w:jc w:val="both"/>
        <w:rPr>
          <w:b/>
        </w:rPr>
      </w:pPr>
    </w:p>
    <w:p w:rsidR="005E2402" w:rsidRDefault="00724691" w:rsidP="006026FE">
      <w:pPr>
        <w:spacing w:line="276" w:lineRule="auto"/>
        <w:jc w:val="both"/>
        <w:rPr>
          <w:b/>
        </w:rPr>
      </w:pPr>
      <w:r>
        <w:rPr>
          <w:b/>
        </w:rPr>
        <w:t>2</w:t>
      </w:r>
      <w:r w:rsidR="005E2402">
        <w:rPr>
          <w:b/>
        </w:rPr>
        <w:t>.1 Analyse préalable de la règlementation</w:t>
      </w:r>
      <w:r w:rsidR="00655314">
        <w:rPr>
          <w:b/>
        </w:rPr>
        <w:t xml:space="preserve"> </w:t>
      </w:r>
      <w:r w:rsidR="005E2402">
        <w:rPr>
          <w:b/>
        </w:rPr>
        <w:t>et de la population de marchés</w:t>
      </w:r>
    </w:p>
    <w:p w:rsidR="005E2402" w:rsidRDefault="00724691" w:rsidP="006026FE">
      <w:pPr>
        <w:spacing w:line="276" w:lineRule="auto"/>
        <w:jc w:val="both"/>
        <w:rPr>
          <w:b/>
        </w:rPr>
      </w:pPr>
      <w:r>
        <w:rPr>
          <w:b/>
        </w:rPr>
        <w:t>2</w:t>
      </w:r>
      <w:r w:rsidR="005E2402">
        <w:rPr>
          <w:b/>
        </w:rPr>
        <w:t>.1.1 Analyse préalable de la règlementation</w:t>
      </w:r>
    </w:p>
    <w:p w:rsidR="005E2402" w:rsidRPr="001041F2" w:rsidRDefault="005E2402" w:rsidP="006026FE">
      <w:pPr>
        <w:tabs>
          <w:tab w:val="left" w:pos="709"/>
        </w:tabs>
        <w:spacing w:line="276" w:lineRule="auto"/>
        <w:jc w:val="both"/>
        <w:rPr>
          <w:color w:val="000000"/>
        </w:rPr>
      </w:pPr>
      <w:r w:rsidRPr="001041F2">
        <w:rPr>
          <w:color w:val="000000"/>
        </w:rPr>
        <w:t>Le dispositif législatif et réglementaire est structuré et hiérarchisé, il comprend les directives de l’UEMOA, les lois, décrets, arrêtés et diverses décisions</w:t>
      </w:r>
      <w:r>
        <w:rPr>
          <w:color w:val="000000"/>
        </w:rPr>
        <w:t xml:space="preserve">. Les principaux textes réglementaires correspondant à notre période d’audit (exercice 2015) se présentent comme suit : </w:t>
      </w:r>
    </w:p>
    <w:p w:rsidR="005E2402" w:rsidRPr="001041F2" w:rsidRDefault="005E2402" w:rsidP="006026FE">
      <w:pPr>
        <w:spacing w:line="276" w:lineRule="auto"/>
        <w:jc w:val="both"/>
        <w:rPr>
          <w:color w:val="000000"/>
        </w:rPr>
      </w:pPr>
    </w:p>
    <w:p w:rsidR="005E2402" w:rsidRPr="001041F2" w:rsidRDefault="005E2402" w:rsidP="006026FE">
      <w:pPr>
        <w:spacing w:line="276" w:lineRule="auto"/>
        <w:jc w:val="both"/>
        <w:rPr>
          <w:b/>
        </w:rPr>
      </w:pPr>
      <w:r w:rsidRPr="001041F2">
        <w:rPr>
          <w:b/>
        </w:rPr>
        <w:t>Les directives de l’UEMOA</w:t>
      </w:r>
    </w:p>
    <w:p w:rsidR="005E2402" w:rsidRDefault="005E2402" w:rsidP="006026FE">
      <w:pPr>
        <w:spacing w:line="276" w:lineRule="auto"/>
        <w:jc w:val="both"/>
        <w:rPr>
          <w:color w:val="000000"/>
        </w:rPr>
      </w:pPr>
      <w:r w:rsidRPr="001041F2">
        <w:rPr>
          <w:color w:val="000000"/>
        </w:rPr>
        <w:t>Les directives UEMOA sont au nombre de quatre :</w:t>
      </w:r>
    </w:p>
    <w:p w:rsidR="005E2402" w:rsidRPr="001041F2" w:rsidRDefault="005E2402" w:rsidP="00D10A01">
      <w:pPr>
        <w:pStyle w:val="Paragraphedeliste"/>
        <w:numPr>
          <w:ilvl w:val="0"/>
          <w:numId w:val="8"/>
        </w:numPr>
        <w:spacing w:line="276" w:lineRule="auto"/>
        <w:jc w:val="both"/>
        <w:rPr>
          <w:color w:val="000000"/>
        </w:rPr>
      </w:pPr>
      <w:r w:rsidRPr="001041F2">
        <w:t xml:space="preserve">Directive n° 04/2012/CM/UEMOA </w:t>
      </w:r>
      <w:r>
        <w:t>du 28 Septembre 2012 r</w:t>
      </w:r>
      <w:r w:rsidRPr="001041F2">
        <w:t>elative à l'éthique et à la déontologie dans les MP/DSP</w:t>
      </w:r>
      <w:r>
        <w:t> ;</w:t>
      </w:r>
    </w:p>
    <w:p w:rsidR="005E2402" w:rsidRPr="00287213" w:rsidRDefault="005E2402" w:rsidP="00D10A01">
      <w:pPr>
        <w:pStyle w:val="Paragraphedeliste"/>
        <w:numPr>
          <w:ilvl w:val="0"/>
          <w:numId w:val="8"/>
        </w:numPr>
        <w:spacing w:line="276" w:lineRule="auto"/>
        <w:jc w:val="both"/>
        <w:rPr>
          <w:color w:val="000000"/>
        </w:rPr>
      </w:pPr>
      <w:r w:rsidRPr="001041F2">
        <w:t>Directive n° 02/2014/CM/UEMOA</w:t>
      </w:r>
      <w:r>
        <w:t xml:space="preserve"> du 28 Juin 2014 r</w:t>
      </w:r>
      <w:r w:rsidRPr="001041F2">
        <w:t>égissant la maîtrise d'ouvrage public déléguée au sein de l'UEMOA</w:t>
      </w:r>
      <w:r>
        <w:t> ;</w:t>
      </w:r>
    </w:p>
    <w:p w:rsidR="005E2402" w:rsidRPr="001041F2" w:rsidRDefault="005E2402" w:rsidP="00D10A01">
      <w:pPr>
        <w:pStyle w:val="Paragraphedeliste"/>
        <w:numPr>
          <w:ilvl w:val="0"/>
          <w:numId w:val="8"/>
        </w:numPr>
        <w:spacing w:line="276" w:lineRule="auto"/>
        <w:jc w:val="both"/>
        <w:rPr>
          <w:color w:val="000000"/>
        </w:rPr>
      </w:pPr>
      <w:r w:rsidRPr="001041F2">
        <w:rPr>
          <w:color w:val="000000"/>
        </w:rPr>
        <w:t xml:space="preserve">Directive n° 04/2005/CM/UEMOA </w:t>
      </w:r>
      <w:r>
        <w:t>du 09 Décembre 2005</w:t>
      </w:r>
      <w:r w:rsidRPr="001041F2">
        <w:rPr>
          <w:color w:val="000000"/>
        </w:rPr>
        <w:t xml:space="preserve"> portant procédures de passation, d’exécution et de règlement  des marches publics et des délégations de service public dans l’Union Economique et Monétaire Ouest Africaine</w:t>
      </w:r>
      <w:r>
        <w:rPr>
          <w:color w:val="000000"/>
        </w:rPr>
        <w:t> ;</w:t>
      </w:r>
    </w:p>
    <w:p w:rsidR="005E2402" w:rsidRPr="001041F2" w:rsidRDefault="005E2402" w:rsidP="00D10A01">
      <w:pPr>
        <w:pStyle w:val="Paragraphedeliste"/>
        <w:numPr>
          <w:ilvl w:val="0"/>
          <w:numId w:val="8"/>
        </w:numPr>
        <w:spacing w:line="276" w:lineRule="auto"/>
        <w:jc w:val="both"/>
        <w:rPr>
          <w:color w:val="000000"/>
        </w:rPr>
      </w:pPr>
      <w:r w:rsidRPr="001041F2">
        <w:t>Directive n° 05/2005/CM/UEMOA</w:t>
      </w:r>
      <w:r>
        <w:t xml:space="preserve"> du 09 Décembre 2005</w:t>
      </w:r>
      <w:r w:rsidRPr="001041F2">
        <w:t xml:space="preserve"> portant contrôle et régulation des marchés publics et des délégations de service public dans l'Union Economique et Monétaire Ouest Africaine</w:t>
      </w:r>
      <w:r>
        <w:t>.</w:t>
      </w:r>
    </w:p>
    <w:p w:rsidR="005E2402" w:rsidRPr="001041F2" w:rsidRDefault="005E2402" w:rsidP="006026FE">
      <w:pPr>
        <w:spacing w:line="276" w:lineRule="auto"/>
        <w:jc w:val="both"/>
        <w:rPr>
          <w:color w:val="000000"/>
        </w:rPr>
      </w:pPr>
    </w:p>
    <w:p w:rsidR="005E2402" w:rsidRPr="001041F2" w:rsidRDefault="005E2402" w:rsidP="006026FE">
      <w:pPr>
        <w:spacing w:line="276" w:lineRule="auto"/>
        <w:jc w:val="both"/>
        <w:rPr>
          <w:b/>
          <w:bCs/>
        </w:rPr>
      </w:pPr>
      <w:r w:rsidRPr="001041F2">
        <w:rPr>
          <w:b/>
        </w:rPr>
        <w:t xml:space="preserve">La </w:t>
      </w:r>
      <w:r>
        <w:rPr>
          <w:b/>
          <w:bCs/>
        </w:rPr>
        <w:t>loi</w:t>
      </w:r>
      <w:r w:rsidRPr="001041F2">
        <w:rPr>
          <w:b/>
        </w:rPr>
        <w:t>n° 2011-37</w:t>
      </w:r>
    </w:p>
    <w:p w:rsidR="005E2402" w:rsidRPr="001041F2" w:rsidRDefault="005E2402" w:rsidP="006026FE">
      <w:pPr>
        <w:spacing w:line="276" w:lineRule="auto"/>
        <w:jc w:val="both"/>
      </w:pPr>
      <w:r w:rsidRPr="001041F2">
        <w:t>Il s’agit de la loi n° 2011-37</w:t>
      </w:r>
      <w:r>
        <w:t xml:space="preserve"> du 28 Octobre 2011</w:t>
      </w:r>
      <w:r w:rsidRPr="001041F2">
        <w:t xml:space="preserve"> portant principes généraux, contrôle et régulation des marchés publics et des délégations de service public au Niger</w:t>
      </w:r>
    </w:p>
    <w:p w:rsidR="005E2402" w:rsidRPr="001041F2" w:rsidRDefault="005E2402" w:rsidP="006026FE">
      <w:pPr>
        <w:spacing w:line="276" w:lineRule="auto"/>
        <w:jc w:val="both"/>
      </w:pPr>
    </w:p>
    <w:p w:rsidR="005E2402" w:rsidRPr="001041F2" w:rsidRDefault="005E2402" w:rsidP="006026FE">
      <w:pPr>
        <w:spacing w:line="276" w:lineRule="auto"/>
        <w:jc w:val="both"/>
        <w:rPr>
          <w:b/>
          <w:bCs/>
        </w:rPr>
      </w:pPr>
      <w:r>
        <w:rPr>
          <w:b/>
        </w:rPr>
        <w:t xml:space="preserve">Les </w:t>
      </w:r>
      <w:r w:rsidRPr="001041F2">
        <w:rPr>
          <w:b/>
          <w:bCs/>
        </w:rPr>
        <w:t>Décrets</w:t>
      </w:r>
    </w:p>
    <w:p w:rsidR="005E2402" w:rsidRPr="001041F2" w:rsidRDefault="005E2402" w:rsidP="006026FE">
      <w:pPr>
        <w:spacing w:line="276" w:lineRule="auto"/>
        <w:jc w:val="both"/>
      </w:pPr>
      <w:r w:rsidRPr="001041F2">
        <w:t>Le cadre législatif et réglementaire comprend plusieurs décrets :</w:t>
      </w:r>
    </w:p>
    <w:p w:rsidR="005E2402" w:rsidRPr="007F7D89" w:rsidRDefault="005E2402" w:rsidP="00D10A01">
      <w:pPr>
        <w:pStyle w:val="Paragraphedeliste"/>
        <w:numPr>
          <w:ilvl w:val="0"/>
          <w:numId w:val="9"/>
        </w:numPr>
        <w:spacing w:line="276" w:lineRule="auto"/>
        <w:jc w:val="both"/>
      </w:pPr>
      <w:r w:rsidRPr="007F7D89">
        <w:t>Décret n° 2011-687/PRN/PM du 29 Décembre 2011 portant Attributions, Composition et Modalités de fonctionnement de l'Agence de Régulation des Marchés Publics</w:t>
      </w:r>
    </w:p>
    <w:p w:rsidR="005E2402" w:rsidRPr="007F7D89" w:rsidRDefault="005E2402" w:rsidP="00D10A01">
      <w:pPr>
        <w:pStyle w:val="Paragraphedeliste"/>
        <w:numPr>
          <w:ilvl w:val="0"/>
          <w:numId w:val="9"/>
        </w:numPr>
        <w:spacing w:line="276" w:lineRule="auto"/>
        <w:jc w:val="both"/>
      </w:pPr>
      <w:r w:rsidRPr="007F7D89">
        <w:t>Décret n° 2011-688/PRN/PM du 29 Décembre 2011 portant code d'éthique des marchés publics et des délégations de service public</w:t>
      </w:r>
    </w:p>
    <w:p w:rsidR="005E2402" w:rsidRPr="007F7D89" w:rsidRDefault="005E2402" w:rsidP="00D10A01">
      <w:pPr>
        <w:pStyle w:val="Paragraphedeliste"/>
        <w:numPr>
          <w:ilvl w:val="0"/>
          <w:numId w:val="9"/>
        </w:numPr>
        <w:spacing w:line="276" w:lineRule="auto"/>
        <w:jc w:val="both"/>
      </w:pPr>
      <w:r w:rsidRPr="007F7D89">
        <w:t>Décret n° 2013-002/PRN/PM du 04 Janvier 2013 portant création des Directions des Marchés Publics et des Délégations de Service Public au sein des Ministères</w:t>
      </w:r>
    </w:p>
    <w:p w:rsidR="005E2402" w:rsidRPr="001041F2" w:rsidRDefault="005E2402" w:rsidP="00D10A01">
      <w:pPr>
        <w:pStyle w:val="Paragraphedeliste"/>
        <w:numPr>
          <w:ilvl w:val="0"/>
          <w:numId w:val="9"/>
        </w:numPr>
        <w:spacing w:line="276" w:lineRule="auto"/>
        <w:jc w:val="both"/>
      </w:pPr>
      <w:r w:rsidRPr="001041F2">
        <w:t xml:space="preserve">Décret n° 2013-569/PRN/PM </w:t>
      </w:r>
      <w:r>
        <w:t xml:space="preserve">du 20 Décembre 2013 </w:t>
      </w:r>
      <w:r w:rsidRPr="001041F2">
        <w:t>portant Code des Marchés Publics et des Délégations de Service Public</w:t>
      </w:r>
    </w:p>
    <w:p w:rsidR="005E2402" w:rsidRPr="001041F2" w:rsidRDefault="005E2402" w:rsidP="00D10A01">
      <w:pPr>
        <w:pStyle w:val="Paragraphedeliste"/>
        <w:numPr>
          <w:ilvl w:val="0"/>
          <w:numId w:val="9"/>
        </w:numPr>
        <w:spacing w:line="276" w:lineRule="auto"/>
        <w:jc w:val="both"/>
      </w:pPr>
      <w:r w:rsidRPr="001041F2">
        <w:t xml:space="preserve">Décret n° 2014-127/PRN/PM </w:t>
      </w:r>
      <w:r>
        <w:t>du 26 Février 2014</w:t>
      </w:r>
      <w:r w:rsidRPr="001041F2">
        <w:t xml:space="preserve"> Complétant le décret n° 569/PRN/PM du 20 décembre 2013 portant code des marchés publics et des délégations de service public et déterminant les fautes et les sanctions applicables en matière de marchés publics et des délégations de service public</w:t>
      </w:r>
    </w:p>
    <w:p w:rsidR="005E2402" w:rsidRPr="001041F2" w:rsidRDefault="005E2402" w:rsidP="00D10A01">
      <w:pPr>
        <w:pStyle w:val="Paragraphedeliste"/>
        <w:numPr>
          <w:ilvl w:val="0"/>
          <w:numId w:val="9"/>
        </w:numPr>
        <w:spacing w:line="276" w:lineRule="auto"/>
        <w:jc w:val="both"/>
      </w:pPr>
      <w:r w:rsidRPr="001041F2">
        <w:lastRenderedPageBreak/>
        <w:t>Décret n° 2014-</w:t>
      </w:r>
      <w:r>
        <w:t>070</w:t>
      </w:r>
      <w:r w:rsidRPr="001041F2">
        <w:t>/PRN/PM</w:t>
      </w:r>
      <w:r>
        <w:t xml:space="preserve"> du 12 Février 2014 </w:t>
      </w:r>
      <w:r w:rsidRPr="001041F2">
        <w:t>Déterminant les missions et l'organisation de la direction générale du contrôle des marchés publics et des engagements financiers et fixant les attributions des contrôleurs des marchés publics et des engagements financiers.</w:t>
      </w:r>
    </w:p>
    <w:p w:rsidR="005E2402" w:rsidRPr="00340E80" w:rsidRDefault="005E2402" w:rsidP="00D10A01">
      <w:pPr>
        <w:pStyle w:val="Paragraphedeliste"/>
        <w:numPr>
          <w:ilvl w:val="0"/>
          <w:numId w:val="9"/>
        </w:numPr>
        <w:spacing w:line="276" w:lineRule="auto"/>
        <w:jc w:val="both"/>
      </w:pPr>
      <w:r w:rsidRPr="00340E80">
        <w:t>Décret n° 2014-5005/PRN/PM/MU/L du 31 Juillet 2014 : Déterminant les modalités de mise en œuvre de la maîtrise d'ouvrage publique</w:t>
      </w:r>
      <w:r>
        <w:t>.</w:t>
      </w:r>
    </w:p>
    <w:p w:rsidR="005E2402" w:rsidRPr="001041F2" w:rsidRDefault="005E2402" w:rsidP="006026FE">
      <w:pPr>
        <w:spacing w:line="276" w:lineRule="auto"/>
        <w:jc w:val="both"/>
      </w:pPr>
    </w:p>
    <w:p w:rsidR="008B4255" w:rsidRDefault="008B4255" w:rsidP="006026FE">
      <w:pPr>
        <w:spacing w:line="276" w:lineRule="auto"/>
        <w:jc w:val="both"/>
        <w:rPr>
          <w:b/>
        </w:rPr>
      </w:pPr>
    </w:p>
    <w:p w:rsidR="005E2402" w:rsidRPr="00D43F08" w:rsidRDefault="005E2402" w:rsidP="006026FE">
      <w:pPr>
        <w:spacing w:line="276" w:lineRule="auto"/>
        <w:jc w:val="both"/>
        <w:rPr>
          <w:b/>
          <w:bCs/>
        </w:rPr>
      </w:pPr>
      <w:r w:rsidRPr="001041F2">
        <w:rPr>
          <w:b/>
        </w:rPr>
        <w:t>Les a</w:t>
      </w:r>
      <w:r w:rsidRPr="001041F2">
        <w:rPr>
          <w:b/>
          <w:bCs/>
        </w:rPr>
        <w:t>rrêtés</w:t>
      </w:r>
    </w:p>
    <w:p w:rsidR="005E2402" w:rsidRPr="001041F2" w:rsidRDefault="005E2402" w:rsidP="006026FE">
      <w:pPr>
        <w:spacing w:line="276" w:lineRule="auto"/>
        <w:jc w:val="both"/>
      </w:pPr>
      <w:r w:rsidRPr="001041F2">
        <w:t>Le cadre législatif et réglementaire comprend plusieurs arrêtés :</w:t>
      </w:r>
    </w:p>
    <w:p w:rsidR="005E2402" w:rsidRPr="001041F2" w:rsidRDefault="005E2402" w:rsidP="00D10A01">
      <w:pPr>
        <w:pStyle w:val="Paragraphedeliste"/>
        <w:numPr>
          <w:ilvl w:val="0"/>
          <w:numId w:val="10"/>
        </w:numPr>
        <w:spacing w:line="276" w:lineRule="auto"/>
        <w:jc w:val="both"/>
      </w:pPr>
      <w:r w:rsidRPr="001041F2">
        <w:t xml:space="preserve">Arrêté n°0034/CAB/PM/ARMP </w:t>
      </w:r>
      <w:r>
        <w:t>du 21 Janvier 2014 f</w:t>
      </w:r>
      <w:r w:rsidRPr="001041F2">
        <w:t>ixant les délais dans le cadre de la passation des marchés publics et des délégations de service public</w:t>
      </w:r>
    </w:p>
    <w:p w:rsidR="005E2402" w:rsidRPr="001041F2" w:rsidRDefault="005E2402" w:rsidP="00D10A01">
      <w:pPr>
        <w:pStyle w:val="Paragraphedeliste"/>
        <w:numPr>
          <w:ilvl w:val="0"/>
          <w:numId w:val="10"/>
        </w:numPr>
        <w:spacing w:line="276" w:lineRule="auto"/>
        <w:jc w:val="both"/>
      </w:pPr>
      <w:r w:rsidRPr="001041F2">
        <w:t>Arrêté n°0035/CAB/PM/ARMP</w:t>
      </w:r>
      <w:r>
        <w:t xml:space="preserve"> du 21 Janvier 2014 </w:t>
      </w:r>
      <w:r w:rsidRPr="001041F2">
        <w:t xml:space="preserve"> portant liste des pièces à fournir par les soumissionnaires/candidats pour être éligibles aux marchés publics et délégations de service public</w:t>
      </w:r>
    </w:p>
    <w:p w:rsidR="005E2402" w:rsidRPr="001041F2" w:rsidRDefault="005E2402" w:rsidP="00D10A01">
      <w:pPr>
        <w:pStyle w:val="Paragraphedeliste"/>
        <w:numPr>
          <w:ilvl w:val="0"/>
          <w:numId w:val="10"/>
        </w:numPr>
        <w:spacing w:line="276" w:lineRule="auto"/>
        <w:jc w:val="both"/>
      </w:pPr>
      <w:r w:rsidRPr="001041F2">
        <w:t xml:space="preserve">Arrêté n°0036/CAB/PM/ARMP </w:t>
      </w:r>
      <w:r>
        <w:t xml:space="preserve">du 21 Janvier 2014 </w:t>
      </w:r>
      <w:r w:rsidRPr="001041F2">
        <w:t xml:space="preserve"> portant modalités de signature et d'approbation des marchés publics et des délégations de service public</w:t>
      </w:r>
    </w:p>
    <w:p w:rsidR="005E2402" w:rsidRPr="001041F2" w:rsidRDefault="005E2402" w:rsidP="00D10A01">
      <w:pPr>
        <w:pStyle w:val="Paragraphedeliste"/>
        <w:numPr>
          <w:ilvl w:val="0"/>
          <w:numId w:val="10"/>
        </w:numPr>
        <w:spacing w:line="276" w:lineRule="auto"/>
        <w:jc w:val="both"/>
      </w:pPr>
      <w:r w:rsidRPr="001041F2">
        <w:t xml:space="preserve">Arrêté n°0037/CAB/PM/ARMP </w:t>
      </w:r>
      <w:r>
        <w:t xml:space="preserve">du 21 Janvier 2014 </w:t>
      </w:r>
      <w:r w:rsidRPr="001041F2">
        <w:t xml:space="preserve"> Fixant les seuils dans le cadre de la passation et l'exécution des marchés publics et des délégations de service public</w:t>
      </w:r>
    </w:p>
    <w:p w:rsidR="005E2402" w:rsidRPr="001041F2" w:rsidRDefault="005E2402" w:rsidP="00D10A01">
      <w:pPr>
        <w:pStyle w:val="Paragraphedeliste"/>
        <w:numPr>
          <w:ilvl w:val="0"/>
          <w:numId w:val="10"/>
        </w:numPr>
        <w:spacing w:line="276" w:lineRule="auto"/>
        <w:jc w:val="both"/>
      </w:pPr>
      <w:r w:rsidRPr="001041F2">
        <w:t>Arrête n°175/EF/DGCMP/EF</w:t>
      </w:r>
      <w:r>
        <w:t xml:space="preserve"> du 12 Mai 2014</w:t>
      </w:r>
      <w:r w:rsidRPr="001041F2">
        <w:t xml:space="preserve"> portant organisation et attributions de la Direction des Autorisations et des Dérogations, du Suivi du Contrôle de la Passation des Marchés Publics et des délégations de service public et des engagements financiers à la  Direction Générale du Contrôle des Marchés Publics et des Engagements Financiers.  </w:t>
      </w:r>
    </w:p>
    <w:p w:rsidR="005E2402" w:rsidRPr="001041F2" w:rsidRDefault="005E2402" w:rsidP="00D10A01">
      <w:pPr>
        <w:pStyle w:val="Paragraphedeliste"/>
        <w:numPr>
          <w:ilvl w:val="0"/>
          <w:numId w:val="10"/>
        </w:numPr>
        <w:spacing w:line="276" w:lineRule="auto"/>
        <w:jc w:val="both"/>
      </w:pPr>
      <w:r w:rsidRPr="001041F2">
        <w:t>Arrête n°176/EF/DGCMP/EF</w:t>
      </w:r>
      <w:r>
        <w:t>du 12 Mai 2014</w:t>
      </w:r>
      <w:r w:rsidRPr="001041F2">
        <w:t xml:space="preserve">  portant organisation et attributions de la Direction de l'Information et des Statistiques à la  Direction Générale du Contrôle des Marchés Publics et des Engagements Financiers.  </w:t>
      </w:r>
    </w:p>
    <w:p w:rsidR="005E2402" w:rsidRPr="001041F2" w:rsidRDefault="005E2402" w:rsidP="00D10A01">
      <w:pPr>
        <w:pStyle w:val="Paragraphedeliste"/>
        <w:numPr>
          <w:ilvl w:val="0"/>
          <w:numId w:val="10"/>
        </w:numPr>
        <w:spacing w:line="276" w:lineRule="auto"/>
        <w:jc w:val="both"/>
      </w:pPr>
      <w:r w:rsidRPr="001041F2">
        <w:t>Arrête n°177/EF/DGCMP/EF</w:t>
      </w:r>
      <w:r>
        <w:t>du 12 Mai 2014</w:t>
      </w:r>
      <w:r w:rsidRPr="001041F2">
        <w:t xml:space="preserve">  portant organisation et attributions de la Direction des Etudes et de la Réglementation à la  Direction Générale du Contrôle des Marchés Publics et des Engagements Financiers.  </w:t>
      </w:r>
    </w:p>
    <w:p w:rsidR="005E2402" w:rsidRPr="001041F2" w:rsidRDefault="005E2402" w:rsidP="00D10A01">
      <w:pPr>
        <w:pStyle w:val="Paragraphedeliste"/>
        <w:numPr>
          <w:ilvl w:val="0"/>
          <w:numId w:val="10"/>
        </w:numPr>
        <w:spacing w:line="276" w:lineRule="auto"/>
        <w:jc w:val="both"/>
      </w:pPr>
      <w:r w:rsidRPr="001041F2">
        <w:t>Arrête n°178/EF/DGCMP/EF</w:t>
      </w:r>
      <w:r>
        <w:t>du 12 Mai 2014</w:t>
      </w:r>
      <w:r w:rsidRPr="001041F2">
        <w:t xml:space="preserve">  portant organisation et attributions de la Direction des Appuis conseils et de la Formation à la Direction Générale du Contrôle des Marchés Publics et des Engagements Financiers. </w:t>
      </w:r>
    </w:p>
    <w:p w:rsidR="005E2402" w:rsidRPr="001041F2" w:rsidRDefault="005E2402" w:rsidP="00D10A01">
      <w:pPr>
        <w:pStyle w:val="Paragraphedeliste"/>
        <w:numPr>
          <w:ilvl w:val="0"/>
          <w:numId w:val="10"/>
        </w:numPr>
        <w:spacing w:line="276" w:lineRule="auto"/>
        <w:jc w:val="both"/>
      </w:pPr>
      <w:r w:rsidRPr="001041F2">
        <w:t xml:space="preserve"> Arrêté n°0000180/CAB/PM/ARMP : portant approbation de la Demande de Proposition Type pour la passation des Marchés Publics de Prestations Intellectuelles</w:t>
      </w:r>
    </w:p>
    <w:p w:rsidR="005E2402" w:rsidRPr="001041F2" w:rsidRDefault="005E2402" w:rsidP="00D10A01">
      <w:pPr>
        <w:pStyle w:val="Paragraphedeliste"/>
        <w:numPr>
          <w:ilvl w:val="0"/>
          <w:numId w:val="10"/>
        </w:numPr>
        <w:spacing w:line="276" w:lineRule="auto"/>
        <w:jc w:val="both"/>
      </w:pPr>
      <w:r w:rsidRPr="001041F2">
        <w:t xml:space="preserve">Arrêté n°0000181/CAB/PM/ARMP </w:t>
      </w:r>
      <w:r>
        <w:t>du 29 Septembre 2008</w:t>
      </w:r>
      <w:r w:rsidRPr="001041F2">
        <w:t xml:space="preserve"> portant approbation du Dossier Type d'Appel d'Offres pour la passation des Marchés Publics de Travaux</w:t>
      </w:r>
    </w:p>
    <w:p w:rsidR="005E2402" w:rsidRPr="001041F2" w:rsidRDefault="005E2402" w:rsidP="00D10A01">
      <w:pPr>
        <w:pStyle w:val="Paragraphedeliste"/>
        <w:numPr>
          <w:ilvl w:val="0"/>
          <w:numId w:val="10"/>
        </w:numPr>
        <w:spacing w:line="276" w:lineRule="auto"/>
        <w:jc w:val="both"/>
      </w:pPr>
      <w:r w:rsidRPr="001041F2">
        <w:t xml:space="preserve">Arrêté n°0000182/CAB/PM/ARMP </w:t>
      </w:r>
      <w:r>
        <w:t>du 29 Septembre 2008</w:t>
      </w:r>
      <w:r w:rsidRPr="001041F2">
        <w:t xml:space="preserve"> portant approbation du Dossier Type d'Appel d'Offres pour la passation des Marchés Publics de Fournitures et Services Courants</w:t>
      </w:r>
      <w:r>
        <w:t>.</w:t>
      </w:r>
    </w:p>
    <w:p w:rsidR="005E2402" w:rsidRPr="001041F2" w:rsidRDefault="005E2402" w:rsidP="00D10A01">
      <w:pPr>
        <w:pStyle w:val="Paragraphedeliste"/>
        <w:numPr>
          <w:ilvl w:val="0"/>
          <w:numId w:val="10"/>
        </w:numPr>
        <w:spacing w:line="276" w:lineRule="auto"/>
        <w:jc w:val="both"/>
      </w:pPr>
      <w:r w:rsidRPr="001041F2">
        <w:lastRenderedPageBreak/>
        <w:t xml:space="preserve">Arrêté n°0140/CAB/PM/ARMP </w:t>
      </w:r>
      <w:r>
        <w:t>du 29 Juin 2012</w:t>
      </w:r>
      <w:r w:rsidRPr="001041F2">
        <w:t xml:space="preserve"> portant Création, Attributions et Organisation d'une représentation régionale de l'Agence de Régulation des Marchés Publics</w:t>
      </w:r>
    </w:p>
    <w:p w:rsidR="005E2402" w:rsidRPr="001041F2" w:rsidRDefault="005E2402" w:rsidP="00D10A01">
      <w:pPr>
        <w:pStyle w:val="Paragraphedeliste"/>
        <w:numPr>
          <w:ilvl w:val="0"/>
          <w:numId w:val="10"/>
        </w:numPr>
        <w:spacing w:line="276" w:lineRule="auto"/>
        <w:jc w:val="both"/>
      </w:pPr>
      <w:r w:rsidRPr="001041F2">
        <w:t xml:space="preserve">Arrêté n°0141/CAB/PM/ARMP </w:t>
      </w:r>
      <w:r>
        <w:t>du 29 Juin 2012</w:t>
      </w:r>
      <w:r w:rsidRPr="001041F2">
        <w:t xml:space="preserve"> portant Création, Attributions, Composition-type et fonctionnement de la Commission ad' hoc d'ouverture des plis et d'évaluation des offres des Marchés Publics et des Délégations de Service Public des Etablissements Publics, Sociétés d'Etat et Sociétés d'Economie Mixte</w:t>
      </w:r>
    </w:p>
    <w:p w:rsidR="005E2402" w:rsidRPr="001041F2" w:rsidRDefault="005E2402" w:rsidP="00D10A01">
      <w:pPr>
        <w:pStyle w:val="Paragraphedeliste"/>
        <w:numPr>
          <w:ilvl w:val="0"/>
          <w:numId w:val="10"/>
        </w:numPr>
        <w:spacing w:line="276" w:lineRule="auto"/>
        <w:jc w:val="both"/>
      </w:pPr>
      <w:r w:rsidRPr="001041F2">
        <w:t xml:space="preserve">Arrêté n°0142/CAB/PM/ARMP </w:t>
      </w:r>
      <w:r>
        <w:t>du 29 Juin 2012</w:t>
      </w:r>
      <w:r w:rsidRPr="001041F2">
        <w:t xml:space="preserve"> portant Création, Attributions, Composition-type et fonctionnement de la Commission ad' hoc d'ouverture des plis et d'évaluation des offres des Marchés Publics et des Délégations de Service Public des Collectivités Territoriales</w:t>
      </w:r>
    </w:p>
    <w:p w:rsidR="005E2402" w:rsidRPr="001041F2" w:rsidRDefault="005E2402" w:rsidP="00D10A01">
      <w:pPr>
        <w:pStyle w:val="Paragraphedeliste"/>
        <w:numPr>
          <w:ilvl w:val="0"/>
          <w:numId w:val="10"/>
        </w:numPr>
        <w:spacing w:line="276" w:lineRule="auto"/>
        <w:jc w:val="both"/>
      </w:pPr>
      <w:r w:rsidRPr="001041F2">
        <w:t xml:space="preserve">Arrêté n°0144/CAB/PM/ARMP </w:t>
      </w:r>
      <w:r>
        <w:t>du 29 Juin 2012</w:t>
      </w:r>
      <w:r w:rsidRPr="001041F2">
        <w:t xml:space="preserve"> portant attributions des Divisions Marchés Publics</w:t>
      </w:r>
    </w:p>
    <w:p w:rsidR="005E2402" w:rsidRPr="001041F2" w:rsidRDefault="005E2402" w:rsidP="00D10A01">
      <w:pPr>
        <w:pStyle w:val="Paragraphedeliste"/>
        <w:numPr>
          <w:ilvl w:val="0"/>
          <w:numId w:val="10"/>
        </w:numPr>
        <w:spacing w:line="276" w:lineRule="auto"/>
        <w:jc w:val="both"/>
      </w:pPr>
      <w:r w:rsidRPr="001041F2">
        <w:t xml:space="preserve">Arrêté n°0145/CAB/PM/ARMP </w:t>
      </w:r>
      <w:r>
        <w:t>du 29 Juin 2012</w:t>
      </w:r>
      <w:r w:rsidRPr="001041F2">
        <w:t xml:space="preserve"> portant Création, Attributions, Composition-type et fonctionnement de la Commission ad' hoc d'ouverture des plis et d'évaluation des offres des Marchés Publics et des Délégations de Service Public de l'Etat</w:t>
      </w:r>
    </w:p>
    <w:p w:rsidR="005E2402" w:rsidRPr="001041F2" w:rsidRDefault="005E2402" w:rsidP="006026FE">
      <w:pPr>
        <w:spacing w:line="276" w:lineRule="auto"/>
        <w:jc w:val="both"/>
      </w:pPr>
    </w:p>
    <w:p w:rsidR="005E2402" w:rsidRPr="001041F2" w:rsidRDefault="005E2402" w:rsidP="006026FE">
      <w:pPr>
        <w:spacing w:line="276" w:lineRule="auto"/>
        <w:jc w:val="both"/>
        <w:rPr>
          <w:b/>
          <w:bCs/>
        </w:rPr>
      </w:pPr>
      <w:r w:rsidRPr="001041F2">
        <w:rPr>
          <w:b/>
        </w:rPr>
        <w:t xml:space="preserve">Les </w:t>
      </w:r>
      <w:r w:rsidRPr="001041F2">
        <w:rPr>
          <w:b/>
          <w:bCs/>
        </w:rPr>
        <w:t>décisions</w:t>
      </w:r>
    </w:p>
    <w:p w:rsidR="005E2402" w:rsidRPr="001041F2" w:rsidRDefault="005E2402" w:rsidP="006026FE">
      <w:pPr>
        <w:spacing w:line="276" w:lineRule="auto"/>
        <w:jc w:val="both"/>
        <w:rPr>
          <w:bCs/>
        </w:rPr>
      </w:pPr>
      <w:r w:rsidRPr="001041F2">
        <w:rPr>
          <w:bCs/>
        </w:rPr>
        <w:t>A ces différents textes de lois, décrets et arrêtés,  il faut ajouter trois décisions  d’approbation des manuels de procédures :</w:t>
      </w:r>
    </w:p>
    <w:p w:rsidR="005E2402" w:rsidRPr="001041F2" w:rsidRDefault="005E2402" w:rsidP="00D10A01">
      <w:pPr>
        <w:pStyle w:val="Paragraphedeliste"/>
        <w:numPr>
          <w:ilvl w:val="0"/>
          <w:numId w:val="11"/>
        </w:numPr>
        <w:spacing w:line="276" w:lineRule="auto"/>
        <w:jc w:val="both"/>
        <w:rPr>
          <w:bCs/>
        </w:rPr>
      </w:pPr>
      <w:r w:rsidRPr="001041F2">
        <w:t>Décision N° 02 CAB/PM/ARMP du 21/01/2014 portant approbation du manuel du code des marchés publics du Niger- ETAT</w:t>
      </w:r>
    </w:p>
    <w:p w:rsidR="005E2402" w:rsidRPr="001041F2" w:rsidRDefault="005E2402" w:rsidP="00D10A01">
      <w:pPr>
        <w:pStyle w:val="Paragraphedeliste"/>
        <w:numPr>
          <w:ilvl w:val="0"/>
          <w:numId w:val="11"/>
        </w:numPr>
        <w:spacing w:line="276" w:lineRule="auto"/>
        <w:jc w:val="both"/>
        <w:rPr>
          <w:bCs/>
        </w:rPr>
      </w:pPr>
      <w:r w:rsidRPr="001041F2">
        <w:t xml:space="preserve">Décision N° 04 CAB/PM/ARMP du 21/01/2014 portant approbation du manuel du code des marchés publics du Niger- Etablissements publics, Sociétés d’Etat et Sociétés  d’Economie Mixte </w:t>
      </w:r>
    </w:p>
    <w:p w:rsidR="005E2402" w:rsidRPr="001041F2" w:rsidRDefault="005E2402" w:rsidP="00D10A01">
      <w:pPr>
        <w:pStyle w:val="Paragraphedeliste"/>
        <w:numPr>
          <w:ilvl w:val="0"/>
          <w:numId w:val="11"/>
        </w:numPr>
        <w:spacing w:line="276" w:lineRule="auto"/>
        <w:jc w:val="both"/>
        <w:rPr>
          <w:bCs/>
        </w:rPr>
      </w:pPr>
      <w:r w:rsidRPr="001041F2">
        <w:t>Décision N° 05 CAB/PM/ARMP du 21/01/2014 portant approbation du manuel du code des marchés publics du Niger- COLLECTIVITES TERRITORIALES ;</w:t>
      </w:r>
    </w:p>
    <w:p w:rsidR="005E2402" w:rsidRDefault="005E2402" w:rsidP="006026FE">
      <w:pPr>
        <w:spacing w:line="276" w:lineRule="auto"/>
        <w:jc w:val="both"/>
        <w:rPr>
          <w:color w:val="000000"/>
        </w:rPr>
      </w:pPr>
    </w:p>
    <w:p w:rsidR="005E2402" w:rsidRDefault="005E2402" w:rsidP="006026FE">
      <w:pPr>
        <w:spacing w:line="276" w:lineRule="auto"/>
        <w:jc w:val="both"/>
        <w:rPr>
          <w:color w:val="000000"/>
        </w:rPr>
      </w:pPr>
      <w:r w:rsidRPr="00A944F9">
        <w:rPr>
          <w:color w:val="000000"/>
        </w:rPr>
        <w:t>Il faut cependant noter qu</w:t>
      </w:r>
      <w:r>
        <w:rPr>
          <w:color w:val="000000"/>
        </w:rPr>
        <w:t>e l’environnement règlementaire a évolué au cours de notre intervention :</w:t>
      </w:r>
    </w:p>
    <w:p w:rsidR="005E2402" w:rsidRDefault="005E2402" w:rsidP="00D10A01">
      <w:pPr>
        <w:pStyle w:val="Paragraphedeliste"/>
        <w:numPr>
          <w:ilvl w:val="0"/>
          <w:numId w:val="20"/>
        </w:numPr>
        <w:spacing w:line="276" w:lineRule="auto"/>
        <w:jc w:val="both"/>
        <w:rPr>
          <w:color w:val="000000"/>
        </w:rPr>
      </w:pPr>
      <w:r>
        <w:rPr>
          <w:color w:val="000000"/>
        </w:rPr>
        <w:t>U</w:t>
      </w:r>
      <w:r w:rsidRPr="00C079D3">
        <w:rPr>
          <w:color w:val="000000"/>
        </w:rPr>
        <w:t xml:space="preserve">n nouveau décret portant code des marchés publics (Décret n° 2016-641/PRN/PM du 01 Décembre 2016 portant Code des Marchés Publics et des Délégations de Service Public) a été adopté. </w:t>
      </w:r>
    </w:p>
    <w:p w:rsidR="005E2402" w:rsidRPr="00C079D3" w:rsidRDefault="005E2402" w:rsidP="00D10A01">
      <w:pPr>
        <w:pStyle w:val="Paragraphedeliste"/>
        <w:numPr>
          <w:ilvl w:val="0"/>
          <w:numId w:val="20"/>
        </w:numPr>
        <w:spacing w:line="276" w:lineRule="auto"/>
        <w:jc w:val="both"/>
        <w:rPr>
          <w:color w:val="000000"/>
        </w:rPr>
      </w:pPr>
      <w:r w:rsidRPr="00C079D3">
        <w:rPr>
          <w:color w:val="000000"/>
        </w:rPr>
        <w:t>A</w:t>
      </w:r>
      <w:r>
        <w:rPr>
          <w:color w:val="000000"/>
        </w:rPr>
        <w:t>doption de nouveaux arrêtés dont le détail se présente comme suit :</w:t>
      </w:r>
    </w:p>
    <w:p w:rsidR="005E2402" w:rsidRPr="00E933B7" w:rsidRDefault="005E2402" w:rsidP="00D10A01">
      <w:pPr>
        <w:pStyle w:val="Paragraphedeliste"/>
        <w:numPr>
          <w:ilvl w:val="0"/>
          <w:numId w:val="22"/>
        </w:numPr>
        <w:spacing w:line="276" w:lineRule="auto"/>
        <w:ind w:left="1066"/>
        <w:jc w:val="both"/>
      </w:pPr>
      <w:r w:rsidRPr="00864767">
        <w:t>Arrêté n°0080/CAB/PM/ARMP  du 03 M</w:t>
      </w:r>
      <w:r>
        <w:t>ai</w:t>
      </w:r>
      <w:r w:rsidRPr="00864767">
        <w:t xml:space="preserve"> 2017 : Portant approbation du dossier type d'appel d'offres pour la passation des conventions de délégations  de service public</w:t>
      </w:r>
      <w:r>
        <w:t>.</w:t>
      </w:r>
    </w:p>
    <w:p w:rsidR="005E2402" w:rsidRPr="00E933B7" w:rsidRDefault="005E2402" w:rsidP="00D10A01">
      <w:pPr>
        <w:pStyle w:val="Paragraphedeliste"/>
        <w:numPr>
          <w:ilvl w:val="0"/>
          <w:numId w:val="22"/>
        </w:numPr>
        <w:spacing w:line="276" w:lineRule="auto"/>
        <w:ind w:left="1066"/>
        <w:contextualSpacing w:val="0"/>
        <w:jc w:val="both"/>
      </w:pPr>
      <w:r w:rsidRPr="00692630">
        <w:t>A</w:t>
      </w:r>
      <w:r>
        <w:t>rrêté n°0081/CAB/PM/ARMP du 03 M</w:t>
      </w:r>
      <w:r w:rsidRPr="00692630">
        <w:t>ai 2017 : Portant approbation de la demande de proposition type pour la passation des marchés de prestations intellectuelles et du dossier type de présélection des candidats aux marchés de prestations intellectuelles</w:t>
      </w:r>
      <w:r>
        <w:t>.</w:t>
      </w:r>
    </w:p>
    <w:p w:rsidR="005E2402" w:rsidRPr="00E933B7" w:rsidRDefault="005E2402" w:rsidP="00D10A01">
      <w:pPr>
        <w:pStyle w:val="Paragraphedeliste"/>
        <w:numPr>
          <w:ilvl w:val="0"/>
          <w:numId w:val="22"/>
        </w:numPr>
        <w:spacing w:line="276" w:lineRule="auto"/>
        <w:ind w:left="1066"/>
        <w:contextualSpacing w:val="0"/>
        <w:jc w:val="both"/>
      </w:pPr>
      <w:r w:rsidRPr="00635FAC">
        <w:lastRenderedPageBreak/>
        <w:t>Arrêté n°0082/CAB/PM/ARMP du 03 Mai 2017 : Portant approbation du dossier type d'appel d'offres pour la passation des marchés de fournitures et/ou de services connexes</w:t>
      </w:r>
      <w:r>
        <w:t>.</w:t>
      </w:r>
    </w:p>
    <w:p w:rsidR="005E2402" w:rsidRPr="00E933B7" w:rsidRDefault="005E2402" w:rsidP="00D10A01">
      <w:pPr>
        <w:pStyle w:val="Paragraphedeliste"/>
        <w:numPr>
          <w:ilvl w:val="0"/>
          <w:numId w:val="22"/>
        </w:numPr>
        <w:spacing w:line="276" w:lineRule="auto"/>
        <w:ind w:left="1066"/>
        <w:contextualSpacing w:val="0"/>
        <w:jc w:val="both"/>
      </w:pPr>
      <w:r w:rsidRPr="00681422">
        <w:t>Arrêté n°0083/CAB/PM/ARMP du 03 Mai 2017 : Portant approbation du dossier type d'appel d'offres pour la passation des marchés de travaux, du dossier ty</w:t>
      </w:r>
      <w:r>
        <w:t>pe de pré-qualification des can</w:t>
      </w:r>
      <w:r w:rsidRPr="00681422">
        <w:t>didats aux marchés de travaux et du guide de l'utilisateur du dossier type de pré-sélection aux marchés de travaux</w:t>
      </w:r>
    </w:p>
    <w:p w:rsidR="005E2402" w:rsidRPr="00924BCC" w:rsidRDefault="005E2402" w:rsidP="00D10A01">
      <w:pPr>
        <w:pStyle w:val="Paragraphedeliste"/>
        <w:numPr>
          <w:ilvl w:val="0"/>
          <w:numId w:val="22"/>
        </w:numPr>
        <w:spacing w:line="276" w:lineRule="auto"/>
        <w:ind w:left="1066"/>
        <w:contextualSpacing w:val="0"/>
        <w:jc w:val="both"/>
      </w:pPr>
      <w:r>
        <w:t>Arrêté</w:t>
      </w:r>
      <w:r w:rsidRPr="00681422">
        <w:t xml:space="preserve"> n°0084/CAB/PM/ARMP du 03 Mai 2017 : Portant approbation du dossier type d'appel d'offres pour la passation des marchés de services courants</w:t>
      </w:r>
    </w:p>
    <w:p w:rsidR="005E2402" w:rsidRPr="00924BCC" w:rsidRDefault="005E2402" w:rsidP="00D10A01">
      <w:pPr>
        <w:pStyle w:val="Paragraphedeliste"/>
        <w:numPr>
          <w:ilvl w:val="0"/>
          <w:numId w:val="22"/>
        </w:numPr>
        <w:spacing w:line="276" w:lineRule="auto"/>
        <w:ind w:left="1066"/>
        <w:contextualSpacing w:val="0"/>
        <w:jc w:val="both"/>
      </w:pPr>
      <w:r>
        <w:t>Arrêté</w:t>
      </w:r>
      <w:r w:rsidRPr="00681422">
        <w:t xml:space="preserve"> n°0133/PM/ARMP du 24 Juillet 2017: Portant création, attributions, composition-type et fonctionnement des commissions des marchés publics et des délégations de services public de l'Etat</w:t>
      </w:r>
    </w:p>
    <w:p w:rsidR="005E2402" w:rsidRPr="000947A0" w:rsidRDefault="005E2402" w:rsidP="00D10A01">
      <w:pPr>
        <w:pStyle w:val="Paragraphedeliste"/>
        <w:numPr>
          <w:ilvl w:val="0"/>
          <w:numId w:val="22"/>
        </w:numPr>
        <w:spacing w:line="276" w:lineRule="auto"/>
        <w:ind w:left="1066"/>
        <w:jc w:val="both"/>
      </w:pPr>
      <w:r>
        <w:t>Arrêté</w:t>
      </w:r>
      <w:r w:rsidRPr="00681422">
        <w:t xml:space="preserve"> n°0134/CAB/PM/ARMP du 24 Juillet 2017: Portant création, attributions, composition-type et fonctionnement des marchés publics et des délégations de services public des collectivités territoriales</w:t>
      </w:r>
      <w:r>
        <w:t>.</w:t>
      </w:r>
    </w:p>
    <w:p w:rsidR="005E2402" w:rsidRPr="000947A0" w:rsidRDefault="005E2402" w:rsidP="00D10A01">
      <w:pPr>
        <w:pStyle w:val="Paragraphedeliste"/>
        <w:numPr>
          <w:ilvl w:val="0"/>
          <w:numId w:val="22"/>
        </w:numPr>
        <w:spacing w:line="276" w:lineRule="auto"/>
        <w:ind w:left="1066"/>
        <w:contextualSpacing w:val="0"/>
        <w:jc w:val="both"/>
      </w:pPr>
      <w:r>
        <w:t>Arrêté</w:t>
      </w:r>
      <w:r w:rsidRPr="004C45D3">
        <w:t xml:space="preserve"> n°0135/PM/ARMP du 24 Juillet 2017 : Portant création, attributions, composition-type et fonctionnement des commissions des marchés publics et des délégations de services public des établissements publics, Sociétés d'Etat et Sociétés à participation financière publique majoritaire.</w:t>
      </w:r>
    </w:p>
    <w:p w:rsidR="005E2402" w:rsidRPr="004C45D3" w:rsidRDefault="005E2402" w:rsidP="00D10A01">
      <w:pPr>
        <w:pStyle w:val="Paragraphedeliste"/>
        <w:numPr>
          <w:ilvl w:val="0"/>
          <w:numId w:val="22"/>
        </w:numPr>
        <w:spacing w:line="276" w:lineRule="auto"/>
        <w:ind w:left="1066"/>
        <w:jc w:val="both"/>
      </w:pPr>
      <w:r w:rsidRPr="004C45D3">
        <w:t>Arrêté n°0136/PM/ARMP du 24 Juillet 2017 : Fixant les délais dans le cadre de la passation des marchés publics et des délégations de service public.</w:t>
      </w:r>
    </w:p>
    <w:p w:rsidR="005E2402" w:rsidRPr="004C45D3" w:rsidRDefault="005E2402" w:rsidP="00D10A01">
      <w:pPr>
        <w:pStyle w:val="Paragraphedeliste"/>
        <w:numPr>
          <w:ilvl w:val="0"/>
          <w:numId w:val="22"/>
        </w:numPr>
        <w:spacing w:line="276" w:lineRule="auto"/>
        <w:ind w:left="1066"/>
        <w:jc w:val="both"/>
      </w:pPr>
      <w:r w:rsidRPr="004C45D3">
        <w:t>Arrêté n°0137/PM/ARMP du 24 Juillet 2017 : Portant liste des pièces à fournir par les soumissionnaires/candidats pour être éligibles aux marchés publics et délégations de service public.</w:t>
      </w:r>
    </w:p>
    <w:p w:rsidR="005E2402" w:rsidRPr="004C45D3" w:rsidRDefault="005E2402" w:rsidP="00D10A01">
      <w:pPr>
        <w:pStyle w:val="Paragraphedeliste"/>
        <w:numPr>
          <w:ilvl w:val="0"/>
          <w:numId w:val="22"/>
        </w:numPr>
        <w:spacing w:line="276" w:lineRule="auto"/>
        <w:ind w:left="1066"/>
        <w:jc w:val="both"/>
      </w:pPr>
      <w:r w:rsidRPr="004C45D3">
        <w:t>Arrêté n°0139/PM/ARMP du 24 Juillet 2017 : Fixant les seuils dans le cadre de la passation des marchés</w:t>
      </w:r>
      <w:r>
        <w:t>.</w:t>
      </w:r>
    </w:p>
    <w:p w:rsidR="005E2402" w:rsidRDefault="005E2402" w:rsidP="00D10A01">
      <w:pPr>
        <w:pStyle w:val="Paragraphedeliste"/>
        <w:numPr>
          <w:ilvl w:val="0"/>
          <w:numId w:val="22"/>
        </w:numPr>
        <w:spacing w:line="276" w:lineRule="auto"/>
        <w:ind w:left="1066"/>
        <w:jc w:val="both"/>
      </w:pPr>
      <w:r w:rsidRPr="004C45D3">
        <w:t xml:space="preserve">Arrêté n°0140/CAB/PM/ARMP du 24 Juillet 2017 : Portant modalités de signature et d'approbation des marchés </w:t>
      </w:r>
      <w:r>
        <w:t>publics et des délégations de s</w:t>
      </w:r>
      <w:r w:rsidRPr="004C45D3">
        <w:t>e</w:t>
      </w:r>
      <w:r>
        <w:t>r</w:t>
      </w:r>
      <w:r w:rsidRPr="004C45D3">
        <w:t>vice public</w:t>
      </w:r>
    </w:p>
    <w:p w:rsidR="005E2402" w:rsidRDefault="005E2402" w:rsidP="006026FE">
      <w:pPr>
        <w:spacing w:line="276" w:lineRule="auto"/>
        <w:jc w:val="both"/>
        <w:rPr>
          <w:b/>
        </w:rPr>
      </w:pPr>
    </w:p>
    <w:p w:rsidR="00C72FBC" w:rsidRPr="00242C54" w:rsidRDefault="00C72FBC" w:rsidP="006026FE">
      <w:pPr>
        <w:spacing w:line="276" w:lineRule="auto"/>
        <w:jc w:val="both"/>
        <w:rPr>
          <w:b/>
        </w:rPr>
      </w:pPr>
      <w:r w:rsidRPr="00242C54">
        <w:rPr>
          <w:b/>
        </w:rPr>
        <w:t>2.2 Choix de l’échantillon et validation par l’ARMP</w:t>
      </w:r>
    </w:p>
    <w:p w:rsidR="00C72FBC" w:rsidRPr="00242C54" w:rsidRDefault="00C72FBC" w:rsidP="006026FE">
      <w:pPr>
        <w:spacing w:line="276" w:lineRule="auto"/>
        <w:jc w:val="both"/>
      </w:pPr>
      <w:r w:rsidRPr="00242C54">
        <w:t xml:space="preserve">Le choix de notre échantillon a été effectué sur la base de la liste des marchés fournis par l’ARMP, en conformité avec les règles définies dans les termes de référence. Nous avons transmis notre rapport d’échantillonnage pour chacun des deux (2) lots 1 et 2  à l’ARMP, qui a validité ledit rapport ainsi l’échantillon de marchés sélectionné le 20 septembre 2017.  </w:t>
      </w:r>
    </w:p>
    <w:p w:rsidR="00C72FBC" w:rsidRPr="00242C54" w:rsidRDefault="00C72FBC" w:rsidP="006026FE">
      <w:pPr>
        <w:spacing w:line="276" w:lineRule="auto"/>
        <w:jc w:val="both"/>
        <w:rPr>
          <w:b/>
        </w:rPr>
      </w:pPr>
    </w:p>
    <w:p w:rsidR="00C72FBC" w:rsidRPr="00242C54" w:rsidRDefault="00C72FBC" w:rsidP="006026FE">
      <w:pPr>
        <w:spacing w:line="276" w:lineRule="auto"/>
        <w:jc w:val="both"/>
        <w:rPr>
          <w:b/>
        </w:rPr>
      </w:pPr>
      <w:r w:rsidRPr="00242C54">
        <w:rPr>
          <w:b/>
        </w:rPr>
        <w:t>2.3 La revue des dossiers de l’échantillon</w:t>
      </w:r>
    </w:p>
    <w:p w:rsidR="00C72FBC" w:rsidRPr="00242C54" w:rsidRDefault="00C72FBC" w:rsidP="006026FE">
      <w:pPr>
        <w:spacing w:line="276" w:lineRule="auto"/>
        <w:jc w:val="both"/>
      </w:pPr>
      <w:r w:rsidRPr="00242C54">
        <w:t>La revue des dossiers de marché a consisté à mettre en œuvre les diligences suivantes :</w:t>
      </w:r>
    </w:p>
    <w:p w:rsidR="00C72FBC" w:rsidRPr="00242C54" w:rsidRDefault="00C72FBC" w:rsidP="00D10A01">
      <w:pPr>
        <w:pStyle w:val="Paragraphedeliste"/>
        <w:numPr>
          <w:ilvl w:val="0"/>
          <w:numId w:val="2"/>
        </w:numPr>
        <w:spacing w:line="276" w:lineRule="auto"/>
        <w:jc w:val="both"/>
      </w:pPr>
      <w:r w:rsidRPr="00242C54">
        <w:t xml:space="preserve">La vérification de la performance des opérations ; </w:t>
      </w:r>
    </w:p>
    <w:p w:rsidR="00C72FBC" w:rsidRPr="00242C54" w:rsidRDefault="00C72FBC" w:rsidP="00D10A01">
      <w:pPr>
        <w:pStyle w:val="Paragraphedeliste"/>
        <w:numPr>
          <w:ilvl w:val="0"/>
          <w:numId w:val="2"/>
        </w:numPr>
        <w:spacing w:line="276" w:lineRule="auto"/>
        <w:jc w:val="both"/>
      </w:pPr>
      <w:r w:rsidRPr="00242C54">
        <w:rPr>
          <w:bCs/>
        </w:rPr>
        <w:t>La vérification de</w:t>
      </w:r>
      <w:r w:rsidRPr="00242C54">
        <w:t xml:space="preserve"> la conformité technique et la qualité des prestations exécutées ;</w:t>
      </w:r>
    </w:p>
    <w:p w:rsidR="00C72FBC" w:rsidRPr="00242C54" w:rsidRDefault="00C72FBC" w:rsidP="00D10A01">
      <w:pPr>
        <w:pStyle w:val="Paragraphedeliste"/>
        <w:numPr>
          <w:ilvl w:val="0"/>
          <w:numId w:val="2"/>
        </w:numPr>
        <w:spacing w:line="276" w:lineRule="auto"/>
        <w:jc w:val="both"/>
      </w:pPr>
      <w:r w:rsidRPr="00242C54">
        <w:t>La bonne conduite générale et contractuelle du marché</w:t>
      </w:r>
    </w:p>
    <w:p w:rsidR="00C72FBC" w:rsidRPr="00242C54" w:rsidRDefault="00C72FBC" w:rsidP="00D10A01">
      <w:pPr>
        <w:pStyle w:val="Paragraphedeliste"/>
        <w:numPr>
          <w:ilvl w:val="0"/>
          <w:numId w:val="2"/>
        </w:numPr>
        <w:spacing w:line="276" w:lineRule="auto"/>
        <w:jc w:val="both"/>
      </w:pPr>
      <w:r w:rsidRPr="00242C54">
        <w:t>La conformité des opérations financières.</w:t>
      </w:r>
    </w:p>
    <w:p w:rsidR="00C72FBC" w:rsidRPr="00242C54" w:rsidRDefault="00C72FBC" w:rsidP="00D10A01">
      <w:pPr>
        <w:pStyle w:val="Paragraphedeliste"/>
        <w:numPr>
          <w:ilvl w:val="0"/>
          <w:numId w:val="2"/>
        </w:numPr>
        <w:spacing w:line="276" w:lineRule="auto"/>
        <w:jc w:val="both"/>
      </w:pPr>
      <w:r w:rsidRPr="00242C54">
        <w:t>La formulation des recommandations.</w:t>
      </w:r>
    </w:p>
    <w:p w:rsidR="00C72FBC" w:rsidRPr="00242C54" w:rsidRDefault="00C72FBC" w:rsidP="006026FE">
      <w:pPr>
        <w:spacing w:line="276" w:lineRule="auto"/>
        <w:jc w:val="both"/>
        <w:rPr>
          <w:b/>
        </w:rPr>
      </w:pPr>
    </w:p>
    <w:p w:rsidR="00C72FBC" w:rsidRPr="00242C54" w:rsidRDefault="00C72FBC" w:rsidP="006026FE">
      <w:pPr>
        <w:spacing w:line="276" w:lineRule="auto"/>
        <w:jc w:val="both"/>
        <w:rPr>
          <w:b/>
        </w:rPr>
      </w:pPr>
      <w:r w:rsidRPr="00242C54">
        <w:rPr>
          <w:b/>
        </w:rPr>
        <w:t>2.4 Les travaux chez les Autorités Contractantes</w:t>
      </w:r>
    </w:p>
    <w:p w:rsidR="00C72FBC" w:rsidRPr="00242C54" w:rsidRDefault="00C72FBC" w:rsidP="006026FE">
      <w:pPr>
        <w:spacing w:line="276" w:lineRule="auto"/>
        <w:jc w:val="both"/>
      </w:pPr>
      <w:r w:rsidRPr="00242C54">
        <w:t>A la suite de la revue des dossiers de l’échantillon au niveau de l’ARMP, l’équipe d’audit s’est rendu dans les locaux de l’autorité contractante pour effectuer les travaux suivants :</w:t>
      </w:r>
    </w:p>
    <w:p w:rsidR="00C72FBC" w:rsidRPr="00242C54" w:rsidRDefault="00C72FBC" w:rsidP="00D10A01">
      <w:pPr>
        <w:pStyle w:val="Paragraphedeliste"/>
        <w:numPr>
          <w:ilvl w:val="0"/>
          <w:numId w:val="3"/>
        </w:numPr>
        <w:spacing w:line="276" w:lineRule="auto"/>
        <w:jc w:val="both"/>
        <w:rPr>
          <w:b/>
        </w:rPr>
      </w:pPr>
      <w:r w:rsidRPr="00242C54">
        <w:rPr>
          <w:color w:val="000000"/>
        </w:rPr>
        <w:t>Revue du contrôle interne de la Direction des Marchés Publics ;</w:t>
      </w:r>
    </w:p>
    <w:p w:rsidR="00C72FBC" w:rsidRPr="00242C54" w:rsidRDefault="00C72FBC" w:rsidP="00D10A01">
      <w:pPr>
        <w:pStyle w:val="Paragraphedeliste"/>
        <w:numPr>
          <w:ilvl w:val="0"/>
          <w:numId w:val="3"/>
        </w:numPr>
        <w:spacing w:line="276" w:lineRule="auto"/>
        <w:jc w:val="both"/>
        <w:rPr>
          <w:b/>
        </w:rPr>
      </w:pPr>
      <w:r w:rsidRPr="00242C54">
        <w:rPr>
          <w:color w:val="000000"/>
        </w:rPr>
        <w:t>Travaux complémentaires de la revue des dossiers (collecte et analyse des documents non fournis à l’ARMP) ;</w:t>
      </w:r>
    </w:p>
    <w:p w:rsidR="00C72FBC" w:rsidRPr="00242C54" w:rsidRDefault="00C72FBC" w:rsidP="00D10A01">
      <w:pPr>
        <w:pStyle w:val="Paragraphedeliste"/>
        <w:numPr>
          <w:ilvl w:val="0"/>
          <w:numId w:val="3"/>
        </w:numPr>
        <w:spacing w:line="276" w:lineRule="auto"/>
        <w:jc w:val="both"/>
        <w:rPr>
          <w:b/>
        </w:rPr>
      </w:pPr>
      <w:r w:rsidRPr="00242C54">
        <w:rPr>
          <w:color w:val="000000"/>
        </w:rPr>
        <w:t>Restitution des travaux aux autorités contractantes pour recueillir leurs commentaires et observations.</w:t>
      </w:r>
    </w:p>
    <w:p w:rsidR="00C72FBC" w:rsidRPr="00242C54" w:rsidRDefault="00C72FBC" w:rsidP="006026FE">
      <w:pPr>
        <w:spacing w:line="276" w:lineRule="auto"/>
        <w:jc w:val="both"/>
        <w:rPr>
          <w:b/>
        </w:rPr>
      </w:pPr>
    </w:p>
    <w:p w:rsidR="00C72FBC" w:rsidRPr="00242C54" w:rsidRDefault="00C72FBC" w:rsidP="006026FE">
      <w:pPr>
        <w:spacing w:line="276" w:lineRule="auto"/>
        <w:jc w:val="both"/>
        <w:rPr>
          <w:b/>
        </w:rPr>
      </w:pPr>
      <w:r w:rsidRPr="00242C54">
        <w:rPr>
          <w:b/>
        </w:rPr>
        <w:t>2.5 Le contrôle de matérialité</w:t>
      </w:r>
    </w:p>
    <w:p w:rsidR="00C72FBC" w:rsidRPr="00242C54" w:rsidRDefault="00C72FBC" w:rsidP="006026FE">
      <w:pPr>
        <w:spacing w:line="276" w:lineRule="auto"/>
        <w:jc w:val="both"/>
      </w:pPr>
      <w:r w:rsidRPr="00242C54">
        <w:t>L’audit de matérialité a été réalisé sur un deuxième niveau d’échantillon de marchés sélectionnés à partir du premier niveau d’échantillon de marchés transmis à l’ARMP. Ce contrôle de matérialité a pour objectif de s’assurer de la conformité des prestations réalisées au regard du contenu du cahier des Prescriptions Techniques et de l’offre du titulaire du marché.</w:t>
      </w:r>
    </w:p>
    <w:p w:rsidR="00C72FBC" w:rsidRPr="00242C54" w:rsidRDefault="00C72FBC" w:rsidP="006026FE">
      <w:pPr>
        <w:spacing w:line="276" w:lineRule="auto"/>
        <w:jc w:val="both"/>
      </w:pPr>
    </w:p>
    <w:p w:rsidR="00C72FBC" w:rsidRPr="00242C54" w:rsidRDefault="00C72FBC" w:rsidP="006026FE">
      <w:pPr>
        <w:spacing w:line="276" w:lineRule="auto"/>
        <w:jc w:val="both"/>
        <w:rPr>
          <w:b/>
        </w:rPr>
      </w:pPr>
      <w:r w:rsidRPr="00242C54">
        <w:rPr>
          <w:b/>
        </w:rPr>
        <w:t>2.6 Rapport provisoire</w:t>
      </w:r>
    </w:p>
    <w:p w:rsidR="00C72FBC" w:rsidRPr="00242C54" w:rsidRDefault="00C72FBC" w:rsidP="006026FE">
      <w:pPr>
        <w:spacing w:line="276" w:lineRule="auto"/>
        <w:jc w:val="both"/>
      </w:pPr>
      <w:r w:rsidRPr="00242C54">
        <w:t xml:space="preserve">A la suite de nos travaux le présent rapport provisoire est  transmis au secrétariat exécutif de l’ARMP et aux autorités contractantes afin de  recueillir leurs commentaires et observations. </w:t>
      </w:r>
    </w:p>
    <w:p w:rsidR="00C72FBC" w:rsidRPr="00242C54" w:rsidRDefault="00C72FBC" w:rsidP="006026FE">
      <w:pPr>
        <w:spacing w:line="276" w:lineRule="auto"/>
        <w:jc w:val="both"/>
        <w:rPr>
          <w:b/>
        </w:rPr>
      </w:pPr>
    </w:p>
    <w:p w:rsidR="00C72FBC" w:rsidRPr="00242C54" w:rsidRDefault="00C72FBC" w:rsidP="006026FE">
      <w:pPr>
        <w:spacing w:line="276" w:lineRule="auto"/>
        <w:jc w:val="both"/>
        <w:rPr>
          <w:b/>
        </w:rPr>
      </w:pPr>
      <w:r w:rsidRPr="00242C54">
        <w:rPr>
          <w:b/>
        </w:rPr>
        <w:t xml:space="preserve">2.7 Restitution </w:t>
      </w:r>
    </w:p>
    <w:p w:rsidR="00C72FBC" w:rsidRPr="00242C54" w:rsidRDefault="00C72FBC" w:rsidP="006026FE">
      <w:pPr>
        <w:spacing w:line="276" w:lineRule="auto"/>
        <w:jc w:val="both"/>
      </w:pPr>
      <w:r w:rsidRPr="00242C54">
        <w:t>A la suite de l’émission du rapport provisoire un atelier de validation sera organisé de commun accord avec l’ARMP pour discuter du contenu des rapports provisoires.</w:t>
      </w:r>
    </w:p>
    <w:p w:rsidR="00C72FBC" w:rsidRPr="00242C54" w:rsidRDefault="00C72FBC" w:rsidP="006026FE">
      <w:pPr>
        <w:spacing w:line="276" w:lineRule="auto"/>
        <w:jc w:val="both"/>
      </w:pPr>
    </w:p>
    <w:p w:rsidR="00C72FBC" w:rsidRPr="00242C54" w:rsidRDefault="00C72FBC" w:rsidP="006026FE">
      <w:pPr>
        <w:spacing w:line="276" w:lineRule="auto"/>
        <w:jc w:val="both"/>
        <w:rPr>
          <w:b/>
        </w:rPr>
      </w:pPr>
      <w:r w:rsidRPr="00242C54">
        <w:rPr>
          <w:b/>
        </w:rPr>
        <w:t>2.8 Rapport définitif</w:t>
      </w:r>
    </w:p>
    <w:p w:rsidR="00C72FBC" w:rsidRPr="005F126A" w:rsidRDefault="000460B4" w:rsidP="006026FE">
      <w:pPr>
        <w:spacing w:line="276" w:lineRule="auto"/>
        <w:jc w:val="both"/>
      </w:pPr>
      <w:r w:rsidRPr="003D79ED">
        <w:t>Pour l’émission du rapport définitif nous avons examiné les  commentaires et observations émis par les autorités contractantes et l’ARMP. Nous  avons pris en comptes les  observations et commentaires pertinents</w:t>
      </w:r>
      <w:r>
        <w:t xml:space="preserve"> appuyés par des pièces justificatives</w:t>
      </w:r>
      <w:r w:rsidRPr="003D79ED">
        <w:t xml:space="preserve"> pour </w:t>
      </w:r>
      <w:r>
        <w:t>l’émission du rapport définitif.</w:t>
      </w: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C72FBC" w:rsidRDefault="00C72FBC"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A93D2F" w:rsidP="006026FE">
      <w:pPr>
        <w:spacing w:line="276" w:lineRule="auto"/>
        <w:jc w:val="both"/>
        <w:rPr>
          <w:b/>
        </w:rPr>
      </w:pPr>
      <w:r>
        <w:rPr>
          <w:b/>
          <w:bCs/>
          <w:noProof/>
        </w:rPr>
        <w:pict>
          <v:roundrect id="_x0000_s1029" style="position:absolute;left:0;text-align:left;margin-left:3188.65pt;margin-top:21pt;width:404.25pt;height:51.75pt;z-index:251666432;visibility:visible;mso-position-horizontal:right;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" strokecolor="#9cc2e5" strokeweight="1pt">
            <v:fill color2="#bdd6ee" focus="100%" type="gradient"/>
            <v:shadow on="t" color="#1f4d78" opacity=".5" offset="1pt"/>
            <v:textbox>
              <w:txbxContent>
                <w:p w:rsidR="00E9635E" w:rsidRDefault="00E9635E" w:rsidP="00242C54">
                  <w:pPr>
                    <w:spacing w:line="360" w:lineRule="auto"/>
                    <w:jc w:val="both"/>
                    <w:rPr>
                      <w:b/>
                    </w:rPr>
                  </w:pPr>
                  <w:r>
                    <w:rPr>
                      <w:b/>
                    </w:rPr>
                    <w:t xml:space="preserve">III- LE DISPOSITIF INSTITUTIONNEL </w:t>
                  </w:r>
                  <w:r w:rsidRPr="00596F44">
                    <w:rPr>
                      <w:b/>
                    </w:rPr>
                    <w:t xml:space="preserve">DE LA PASSATION DES MARCHES PUBLICS </w:t>
                  </w:r>
                </w:p>
                <w:p w:rsidR="00E9635E" w:rsidRDefault="00E9635E" w:rsidP="00242C54"/>
              </w:txbxContent>
            </v:textbox>
            <w10:wrap anchorx="margin"/>
          </v:roundrect>
        </w:pict>
      </w: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242C54" w:rsidRDefault="00242C54" w:rsidP="006026FE">
      <w:pPr>
        <w:spacing w:line="276" w:lineRule="auto"/>
        <w:jc w:val="both"/>
        <w:rPr>
          <w:b/>
        </w:rPr>
      </w:pPr>
    </w:p>
    <w:p w:rsidR="003E31AD" w:rsidRDefault="003E31AD" w:rsidP="006026FE">
      <w:pPr>
        <w:spacing w:line="276" w:lineRule="auto"/>
        <w:jc w:val="both"/>
        <w:rPr>
          <w:b/>
        </w:rPr>
      </w:pPr>
    </w:p>
    <w:p w:rsidR="003E31AD" w:rsidRDefault="003E31AD" w:rsidP="006026FE">
      <w:pPr>
        <w:spacing w:line="276" w:lineRule="auto"/>
        <w:jc w:val="both"/>
        <w:rPr>
          <w:b/>
        </w:rPr>
      </w:pPr>
    </w:p>
    <w:p w:rsidR="003E31AD" w:rsidRDefault="003E31AD" w:rsidP="006026FE">
      <w:pPr>
        <w:spacing w:line="276" w:lineRule="auto"/>
        <w:jc w:val="both"/>
        <w:rPr>
          <w:b/>
        </w:rPr>
      </w:pPr>
    </w:p>
    <w:p w:rsidR="003E31AD" w:rsidRDefault="003E31AD" w:rsidP="006026FE">
      <w:pPr>
        <w:spacing w:line="276" w:lineRule="auto"/>
        <w:jc w:val="both"/>
        <w:rPr>
          <w:b/>
        </w:rPr>
      </w:pPr>
    </w:p>
    <w:p w:rsidR="003E31AD" w:rsidRDefault="003E31AD" w:rsidP="006026FE">
      <w:pPr>
        <w:spacing w:line="276" w:lineRule="auto"/>
        <w:jc w:val="both"/>
        <w:rPr>
          <w:b/>
        </w:rPr>
      </w:pPr>
    </w:p>
    <w:p w:rsidR="003E31AD" w:rsidRDefault="003E31AD" w:rsidP="006026FE">
      <w:pPr>
        <w:spacing w:line="276" w:lineRule="auto"/>
        <w:jc w:val="both"/>
        <w:rPr>
          <w:b/>
        </w:rPr>
      </w:pPr>
    </w:p>
    <w:p w:rsidR="00A720C5" w:rsidRDefault="00A720C5" w:rsidP="006026FE">
      <w:pPr>
        <w:spacing w:line="276" w:lineRule="auto"/>
        <w:jc w:val="both"/>
        <w:rPr>
          <w:b/>
        </w:rPr>
      </w:pPr>
    </w:p>
    <w:p w:rsidR="003E31AD" w:rsidRDefault="003E31AD" w:rsidP="006026FE">
      <w:pPr>
        <w:spacing w:line="276" w:lineRule="auto"/>
        <w:jc w:val="both"/>
        <w:rPr>
          <w:b/>
        </w:rPr>
      </w:pPr>
    </w:p>
    <w:p w:rsidR="003E31AD" w:rsidRDefault="003E31AD" w:rsidP="006026FE">
      <w:pPr>
        <w:spacing w:line="276" w:lineRule="auto"/>
        <w:jc w:val="both"/>
        <w:rPr>
          <w:b/>
        </w:rPr>
      </w:pPr>
    </w:p>
    <w:p w:rsidR="005E2402" w:rsidRDefault="00724691" w:rsidP="006026FE">
      <w:pPr>
        <w:spacing w:line="276" w:lineRule="auto"/>
        <w:jc w:val="both"/>
        <w:rPr>
          <w:b/>
        </w:rPr>
      </w:pPr>
      <w:r>
        <w:rPr>
          <w:b/>
        </w:rPr>
        <w:t>III</w:t>
      </w:r>
      <w:r w:rsidR="002D2BC6">
        <w:rPr>
          <w:b/>
        </w:rPr>
        <w:t>-</w:t>
      </w:r>
      <w:r>
        <w:rPr>
          <w:b/>
        </w:rPr>
        <w:t xml:space="preserve">Le dispositif institutionnel </w:t>
      </w:r>
      <w:r w:rsidR="005E2402" w:rsidRPr="00596F44">
        <w:rPr>
          <w:b/>
        </w:rPr>
        <w:t xml:space="preserve">de la passation des marchés publics </w:t>
      </w:r>
    </w:p>
    <w:p w:rsidR="005E2402" w:rsidRPr="001041F2" w:rsidRDefault="005E2402" w:rsidP="006026FE">
      <w:pPr>
        <w:spacing w:line="276" w:lineRule="auto"/>
        <w:jc w:val="both"/>
      </w:pPr>
      <w:r w:rsidRPr="001041F2">
        <w:t>Le dispositif  législatif et réglementaire des marchés publics et des délégations de service public crée plusieurs organes et définit leurs attributions et fonctionnement :</w:t>
      </w:r>
    </w:p>
    <w:p w:rsidR="005E2402" w:rsidRPr="001041F2" w:rsidRDefault="005E2402" w:rsidP="00D10A01">
      <w:pPr>
        <w:pStyle w:val="Paragraphedeliste"/>
        <w:numPr>
          <w:ilvl w:val="0"/>
          <w:numId w:val="12"/>
        </w:numPr>
        <w:spacing w:line="276" w:lineRule="auto"/>
        <w:jc w:val="both"/>
      </w:pPr>
      <w:r w:rsidRPr="001041F2">
        <w:t>L’agence de régulation des marchés publics (ARMP)</w:t>
      </w:r>
    </w:p>
    <w:p w:rsidR="005E2402" w:rsidRPr="001041F2" w:rsidRDefault="005E2402" w:rsidP="00D10A01">
      <w:pPr>
        <w:pStyle w:val="Paragraphedeliste"/>
        <w:numPr>
          <w:ilvl w:val="0"/>
          <w:numId w:val="12"/>
        </w:numPr>
        <w:spacing w:line="276" w:lineRule="auto"/>
        <w:jc w:val="both"/>
      </w:pPr>
      <w:r w:rsidRPr="001041F2">
        <w:t>L’entité administrative chargé du contrôle à priori des marchés publics : la Direction Générale du Contrôle des Marchés publics et des engagements financiers (DGCMP/EF)</w:t>
      </w:r>
    </w:p>
    <w:p w:rsidR="005E2402" w:rsidRPr="001041F2" w:rsidRDefault="005E2402" w:rsidP="00D10A01">
      <w:pPr>
        <w:pStyle w:val="Paragraphedeliste"/>
        <w:numPr>
          <w:ilvl w:val="0"/>
          <w:numId w:val="12"/>
        </w:numPr>
        <w:spacing w:line="276" w:lineRule="auto"/>
        <w:jc w:val="both"/>
      </w:pPr>
      <w:r w:rsidRPr="001041F2">
        <w:t>Les autorités contractantes</w:t>
      </w:r>
    </w:p>
    <w:p w:rsidR="005E2402" w:rsidRPr="001041F2" w:rsidRDefault="005E2402" w:rsidP="006026FE">
      <w:pPr>
        <w:spacing w:line="276" w:lineRule="auto"/>
        <w:jc w:val="both"/>
        <w:rPr>
          <w:b/>
        </w:rPr>
      </w:pPr>
    </w:p>
    <w:p w:rsidR="005E2402" w:rsidRPr="00C32C74" w:rsidRDefault="00724691" w:rsidP="006026FE">
      <w:pPr>
        <w:spacing w:line="276" w:lineRule="auto"/>
        <w:jc w:val="both"/>
        <w:rPr>
          <w:b/>
        </w:rPr>
      </w:pPr>
      <w:r>
        <w:rPr>
          <w:b/>
        </w:rPr>
        <w:t>3</w:t>
      </w:r>
      <w:r w:rsidR="005E2402">
        <w:rPr>
          <w:b/>
        </w:rPr>
        <w:t xml:space="preserve">.1 </w:t>
      </w:r>
      <w:r w:rsidR="005E2402" w:rsidRPr="001041F2">
        <w:rPr>
          <w:b/>
        </w:rPr>
        <w:t>L’agence de Régulation des Marchés Publi</w:t>
      </w:r>
      <w:r w:rsidR="005E2402">
        <w:rPr>
          <w:b/>
        </w:rPr>
        <w:t>cs (ARMP)</w:t>
      </w:r>
    </w:p>
    <w:p w:rsidR="005E2402" w:rsidRPr="001041F2" w:rsidRDefault="005E2402" w:rsidP="006026FE">
      <w:pPr>
        <w:spacing w:line="276" w:lineRule="auto"/>
        <w:jc w:val="both"/>
        <w:rPr>
          <w:b/>
          <w:i/>
          <w:u w:val="single"/>
        </w:rPr>
      </w:pPr>
      <w:r w:rsidRPr="001041F2">
        <w:rPr>
          <w:b/>
          <w:i/>
          <w:u w:val="single"/>
        </w:rPr>
        <w:t>Attributions</w:t>
      </w:r>
    </w:p>
    <w:p w:rsidR="005E2402" w:rsidRPr="001041F2" w:rsidRDefault="005E2402" w:rsidP="006026FE">
      <w:pPr>
        <w:spacing w:line="276" w:lineRule="auto"/>
        <w:jc w:val="both"/>
        <w:rPr>
          <w:b/>
        </w:rPr>
      </w:pPr>
      <w:r w:rsidRPr="001041F2">
        <w:rPr>
          <w:rFonts w:eastAsiaTheme="minorHAnsi"/>
          <w:lang w:eastAsia="en-US"/>
        </w:rPr>
        <w:t>L'Agence de Régulation des Marchés Publics est une autorité administrative indépendante rattachée au Cabinet du Premier Ministre.</w:t>
      </w:r>
    </w:p>
    <w:p w:rsidR="005E2402" w:rsidRPr="001041F2" w:rsidRDefault="005E2402" w:rsidP="006026FE">
      <w:pPr>
        <w:spacing w:line="276" w:lineRule="auto"/>
        <w:jc w:val="both"/>
        <w:rPr>
          <w:rFonts w:eastAsiaTheme="minorHAnsi"/>
          <w:lang w:eastAsia="en-US"/>
        </w:rPr>
      </w:pPr>
      <w:r w:rsidRPr="001041F2">
        <w:t xml:space="preserve">Au terme de l’article 3 du décret N° 2011-687/PRN/PM, l’ARMP a pour mission d’assurer  </w:t>
      </w:r>
      <w:r w:rsidRPr="001041F2">
        <w:rPr>
          <w:rFonts w:eastAsiaTheme="minorHAnsi"/>
          <w:lang w:eastAsia="en-US"/>
        </w:rPr>
        <w:t>la régulation, le suivi et l'évaluation des marchés publics et des délégations de service public.</w:t>
      </w:r>
    </w:p>
    <w:p w:rsidR="005E2402" w:rsidRPr="001041F2" w:rsidRDefault="005E2402" w:rsidP="006026FE">
      <w:pPr>
        <w:autoSpaceDE w:val="0"/>
        <w:autoSpaceDN w:val="0"/>
        <w:adjustRightInd w:val="0"/>
        <w:spacing w:line="276" w:lineRule="auto"/>
        <w:jc w:val="both"/>
        <w:rPr>
          <w:rFonts w:eastAsiaTheme="minorHAnsi"/>
          <w:lang w:eastAsia="en-US"/>
        </w:rPr>
      </w:pPr>
      <w:r w:rsidRPr="001041F2">
        <w:rPr>
          <w:rFonts w:eastAsiaTheme="minorHAnsi"/>
          <w:lang w:eastAsia="en-US"/>
        </w:rPr>
        <w:t>A ce titre, elle est chargée notamment:</w:t>
      </w:r>
    </w:p>
    <w:p w:rsidR="005E2402" w:rsidRPr="001041F2" w:rsidRDefault="005E2402" w:rsidP="00D10A01">
      <w:pPr>
        <w:pStyle w:val="Paragraphedeliste"/>
        <w:numPr>
          <w:ilvl w:val="0"/>
          <w:numId w:val="13"/>
        </w:numPr>
        <w:autoSpaceDE w:val="0"/>
        <w:autoSpaceDN w:val="0"/>
        <w:adjustRightInd w:val="0"/>
        <w:spacing w:line="276" w:lineRule="auto"/>
        <w:jc w:val="both"/>
        <w:rPr>
          <w:rFonts w:eastAsiaTheme="minorHAnsi"/>
          <w:lang w:eastAsia="en-US"/>
        </w:rPr>
      </w:pPr>
      <w:r w:rsidRPr="001041F2">
        <w:rPr>
          <w:rFonts w:eastAsiaTheme="minorHAnsi"/>
          <w:lang w:eastAsia="en-US"/>
        </w:rPr>
        <w:t>de proposer des réformes de la réglementation en matière de marchés publics et des délégations de service public;</w:t>
      </w:r>
    </w:p>
    <w:p w:rsidR="005E2402" w:rsidRPr="001041F2" w:rsidRDefault="005E2402" w:rsidP="00D10A01">
      <w:pPr>
        <w:pStyle w:val="Paragraphedeliste"/>
        <w:numPr>
          <w:ilvl w:val="0"/>
          <w:numId w:val="13"/>
        </w:numPr>
        <w:autoSpaceDE w:val="0"/>
        <w:autoSpaceDN w:val="0"/>
        <w:adjustRightInd w:val="0"/>
        <w:spacing w:line="276" w:lineRule="auto"/>
        <w:jc w:val="both"/>
        <w:rPr>
          <w:rFonts w:eastAsiaTheme="minorHAnsi"/>
          <w:lang w:eastAsia="en-US"/>
        </w:rPr>
      </w:pPr>
      <w:r w:rsidRPr="001041F2">
        <w:rPr>
          <w:rFonts w:eastAsiaTheme="minorHAnsi"/>
          <w:lang w:eastAsia="en-US"/>
        </w:rPr>
        <w:t>d'assurer le traitement des plaintes des soumissionnaires;</w:t>
      </w:r>
    </w:p>
    <w:p w:rsidR="005E2402" w:rsidRPr="001041F2" w:rsidRDefault="005E2402" w:rsidP="00D10A01">
      <w:pPr>
        <w:pStyle w:val="Paragraphedeliste"/>
        <w:numPr>
          <w:ilvl w:val="0"/>
          <w:numId w:val="13"/>
        </w:numPr>
        <w:autoSpaceDE w:val="0"/>
        <w:autoSpaceDN w:val="0"/>
        <w:adjustRightInd w:val="0"/>
        <w:spacing w:line="276" w:lineRule="auto"/>
        <w:jc w:val="both"/>
        <w:rPr>
          <w:rFonts w:eastAsiaTheme="minorHAnsi"/>
          <w:lang w:eastAsia="en-US"/>
        </w:rPr>
      </w:pPr>
      <w:r w:rsidRPr="001041F2">
        <w:rPr>
          <w:rFonts w:eastAsiaTheme="minorHAnsi"/>
          <w:lang w:eastAsia="en-US"/>
        </w:rPr>
        <w:t>de conduire des audits;</w:t>
      </w:r>
    </w:p>
    <w:p w:rsidR="005E2402" w:rsidRPr="001041F2" w:rsidRDefault="005E2402" w:rsidP="00D10A01">
      <w:pPr>
        <w:pStyle w:val="Paragraphedeliste"/>
        <w:numPr>
          <w:ilvl w:val="0"/>
          <w:numId w:val="13"/>
        </w:numPr>
        <w:autoSpaceDE w:val="0"/>
        <w:autoSpaceDN w:val="0"/>
        <w:adjustRightInd w:val="0"/>
        <w:spacing w:line="276" w:lineRule="auto"/>
        <w:jc w:val="both"/>
        <w:rPr>
          <w:rFonts w:eastAsiaTheme="minorHAnsi"/>
          <w:lang w:eastAsia="en-US"/>
        </w:rPr>
      </w:pPr>
      <w:r w:rsidRPr="001041F2">
        <w:rPr>
          <w:rFonts w:eastAsiaTheme="minorHAnsi"/>
          <w:lang w:eastAsia="en-US"/>
        </w:rPr>
        <w:t>d'assurer la formation des intervenants du système sur la réglementation et les procédures applicables aux marchés publics et aux délégations de service public;</w:t>
      </w:r>
    </w:p>
    <w:p w:rsidR="005E2402" w:rsidRPr="001041F2" w:rsidRDefault="005E2402" w:rsidP="00D10A01">
      <w:pPr>
        <w:pStyle w:val="Paragraphedeliste"/>
        <w:numPr>
          <w:ilvl w:val="0"/>
          <w:numId w:val="13"/>
        </w:numPr>
        <w:autoSpaceDE w:val="0"/>
        <w:autoSpaceDN w:val="0"/>
        <w:adjustRightInd w:val="0"/>
        <w:spacing w:line="276" w:lineRule="auto"/>
        <w:jc w:val="both"/>
        <w:rPr>
          <w:rFonts w:eastAsiaTheme="minorHAnsi"/>
          <w:lang w:eastAsia="en-US"/>
        </w:rPr>
      </w:pPr>
      <w:r w:rsidRPr="001041F2">
        <w:rPr>
          <w:rFonts w:eastAsiaTheme="minorHAnsi"/>
          <w:lang w:eastAsia="en-US"/>
        </w:rPr>
        <w:t>de prononcer les exclusions temporaires de participation à la commande publique;</w:t>
      </w:r>
    </w:p>
    <w:p w:rsidR="005E2402" w:rsidRPr="001041F2" w:rsidRDefault="005E2402" w:rsidP="00D10A01">
      <w:pPr>
        <w:pStyle w:val="Paragraphedeliste"/>
        <w:numPr>
          <w:ilvl w:val="0"/>
          <w:numId w:val="13"/>
        </w:numPr>
        <w:autoSpaceDE w:val="0"/>
        <w:autoSpaceDN w:val="0"/>
        <w:adjustRightInd w:val="0"/>
        <w:spacing w:line="276" w:lineRule="auto"/>
        <w:jc w:val="both"/>
      </w:pPr>
      <w:r w:rsidRPr="001041F2">
        <w:rPr>
          <w:rFonts w:eastAsiaTheme="minorHAnsi"/>
          <w:lang w:eastAsia="en-US"/>
        </w:rPr>
        <w:t>de contribuer à l'information des intervenants et d'assurer le suivi et l'évaluation du système de passation des marchés publics et des délégations de service public.</w:t>
      </w:r>
    </w:p>
    <w:p w:rsidR="005E2402" w:rsidRPr="001041F2" w:rsidRDefault="005E2402" w:rsidP="006026FE">
      <w:pPr>
        <w:spacing w:line="276" w:lineRule="auto"/>
        <w:jc w:val="both"/>
        <w:rPr>
          <w:b/>
          <w:i/>
          <w:u w:val="single"/>
        </w:rPr>
      </w:pPr>
      <w:r w:rsidRPr="001041F2">
        <w:rPr>
          <w:b/>
          <w:i/>
          <w:u w:val="single"/>
        </w:rPr>
        <w:t>Organisation</w:t>
      </w:r>
    </w:p>
    <w:p w:rsidR="005E2402" w:rsidRPr="001041F2" w:rsidRDefault="005E2402" w:rsidP="006026FE">
      <w:pPr>
        <w:spacing w:line="276" w:lineRule="auto"/>
        <w:jc w:val="both"/>
      </w:pPr>
      <w:r w:rsidRPr="001041F2">
        <w:t>L’ARMP comprend les organes suivants :</w:t>
      </w:r>
    </w:p>
    <w:p w:rsidR="005E2402" w:rsidRPr="001041F2" w:rsidRDefault="005E2402" w:rsidP="00D10A01">
      <w:pPr>
        <w:pStyle w:val="Paragraphedeliste"/>
        <w:numPr>
          <w:ilvl w:val="0"/>
          <w:numId w:val="14"/>
        </w:numPr>
        <w:autoSpaceDE w:val="0"/>
        <w:autoSpaceDN w:val="0"/>
        <w:adjustRightInd w:val="0"/>
        <w:spacing w:line="276" w:lineRule="auto"/>
        <w:jc w:val="both"/>
        <w:rPr>
          <w:rFonts w:eastAsiaTheme="minorHAnsi"/>
          <w:lang w:eastAsia="en-US"/>
        </w:rPr>
      </w:pPr>
      <w:r w:rsidRPr="001041F2">
        <w:rPr>
          <w:rFonts w:eastAsiaTheme="minorHAnsi"/>
          <w:lang w:eastAsia="en-US"/>
        </w:rPr>
        <w:t>le Conseil National de Régulation et les Comités Ad' hoc;</w:t>
      </w:r>
    </w:p>
    <w:p w:rsidR="005E2402" w:rsidRPr="001041F2" w:rsidRDefault="005E2402" w:rsidP="00D10A01">
      <w:pPr>
        <w:pStyle w:val="Paragraphedeliste"/>
        <w:numPr>
          <w:ilvl w:val="0"/>
          <w:numId w:val="14"/>
        </w:numPr>
        <w:autoSpaceDE w:val="0"/>
        <w:autoSpaceDN w:val="0"/>
        <w:adjustRightInd w:val="0"/>
        <w:spacing w:line="276" w:lineRule="auto"/>
        <w:jc w:val="both"/>
        <w:rPr>
          <w:rFonts w:eastAsiaTheme="minorHAnsi"/>
          <w:lang w:eastAsia="en-US"/>
        </w:rPr>
      </w:pPr>
      <w:r w:rsidRPr="001041F2">
        <w:rPr>
          <w:rFonts w:eastAsiaTheme="minorHAnsi"/>
          <w:lang w:eastAsia="en-US"/>
        </w:rPr>
        <w:t>le Secrétariat Exécutif.</w:t>
      </w:r>
    </w:p>
    <w:p w:rsidR="005E2402" w:rsidRPr="001041F2" w:rsidRDefault="005E2402" w:rsidP="006026FE">
      <w:pPr>
        <w:autoSpaceDE w:val="0"/>
        <w:autoSpaceDN w:val="0"/>
        <w:adjustRightInd w:val="0"/>
        <w:spacing w:line="276" w:lineRule="auto"/>
        <w:ind w:left="360"/>
        <w:jc w:val="both"/>
        <w:rPr>
          <w:rFonts w:eastAsiaTheme="minorHAnsi"/>
          <w:lang w:eastAsia="en-US"/>
        </w:rPr>
      </w:pPr>
    </w:p>
    <w:p w:rsidR="005E2402" w:rsidRPr="001041F2" w:rsidRDefault="005E2402" w:rsidP="006026FE">
      <w:pPr>
        <w:autoSpaceDE w:val="0"/>
        <w:autoSpaceDN w:val="0"/>
        <w:adjustRightInd w:val="0"/>
        <w:spacing w:line="276" w:lineRule="auto"/>
        <w:jc w:val="both"/>
        <w:rPr>
          <w:rFonts w:eastAsiaTheme="minorHAnsi"/>
          <w:lang w:eastAsia="en-US"/>
        </w:rPr>
      </w:pPr>
      <w:r w:rsidRPr="001041F2">
        <w:rPr>
          <w:rFonts w:eastAsiaTheme="minorHAnsi"/>
          <w:lang w:eastAsia="en-US"/>
        </w:rPr>
        <w:t>Le Conseil National de Régulation est l'organe d'orientation et de décision de l'Agence de</w:t>
      </w:r>
    </w:p>
    <w:p w:rsidR="005E2402" w:rsidRPr="001041F2" w:rsidRDefault="005E2402" w:rsidP="006026FE">
      <w:pPr>
        <w:autoSpaceDE w:val="0"/>
        <w:autoSpaceDN w:val="0"/>
        <w:adjustRightInd w:val="0"/>
        <w:spacing w:line="276" w:lineRule="auto"/>
        <w:jc w:val="both"/>
        <w:rPr>
          <w:rFonts w:eastAsiaTheme="minorHAnsi"/>
          <w:lang w:eastAsia="en-US"/>
        </w:rPr>
      </w:pPr>
      <w:r w:rsidRPr="001041F2">
        <w:rPr>
          <w:rFonts w:eastAsiaTheme="minorHAnsi"/>
          <w:lang w:eastAsia="en-US"/>
        </w:rPr>
        <w:t>Régulation des Marchés Publics. Il dispose des pouvoirs les plus étendus pour administrer l'Agence, définir et orienter sa politique générale, et évaluer sa gestion.</w:t>
      </w:r>
    </w:p>
    <w:p w:rsidR="005E2402" w:rsidRPr="001041F2" w:rsidRDefault="005E2402" w:rsidP="006026FE">
      <w:pPr>
        <w:autoSpaceDE w:val="0"/>
        <w:autoSpaceDN w:val="0"/>
        <w:adjustRightInd w:val="0"/>
        <w:spacing w:line="276" w:lineRule="auto"/>
        <w:jc w:val="both"/>
        <w:rPr>
          <w:rFonts w:eastAsiaTheme="minorHAnsi"/>
          <w:lang w:eastAsia="en-US"/>
        </w:rPr>
      </w:pPr>
    </w:p>
    <w:p w:rsidR="005E2402" w:rsidRPr="001041F2" w:rsidRDefault="005E2402" w:rsidP="006026FE">
      <w:pPr>
        <w:autoSpaceDE w:val="0"/>
        <w:autoSpaceDN w:val="0"/>
        <w:adjustRightInd w:val="0"/>
        <w:spacing w:line="276" w:lineRule="auto"/>
        <w:jc w:val="both"/>
        <w:rPr>
          <w:rFonts w:eastAsiaTheme="minorHAnsi"/>
          <w:lang w:eastAsia="en-US"/>
        </w:rPr>
      </w:pPr>
      <w:r w:rsidRPr="001041F2">
        <w:rPr>
          <w:rFonts w:eastAsiaTheme="minorHAnsi"/>
          <w:lang w:eastAsia="en-US"/>
        </w:rPr>
        <w:t>Le Conseil National de Régulation est un organe tripartite et paritaire comprenant des membres représentant l'administration publique (4 représentants), le secteur privé (4 représentants) et la société civile (4 représentants).</w:t>
      </w:r>
    </w:p>
    <w:p w:rsidR="005E2402" w:rsidRPr="001041F2" w:rsidRDefault="005E2402" w:rsidP="006026FE">
      <w:pPr>
        <w:autoSpaceDE w:val="0"/>
        <w:autoSpaceDN w:val="0"/>
        <w:adjustRightInd w:val="0"/>
        <w:spacing w:line="276" w:lineRule="auto"/>
        <w:jc w:val="both"/>
        <w:rPr>
          <w:rFonts w:eastAsiaTheme="minorHAnsi"/>
          <w:lang w:eastAsia="en-US"/>
        </w:rPr>
      </w:pPr>
    </w:p>
    <w:p w:rsidR="005E2402" w:rsidRPr="001041F2" w:rsidRDefault="005E2402" w:rsidP="006026FE">
      <w:pPr>
        <w:autoSpaceDE w:val="0"/>
        <w:autoSpaceDN w:val="0"/>
        <w:adjustRightInd w:val="0"/>
        <w:spacing w:line="276" w:lineRule="auto"/>
        <w:jc w:val="both"/>
        <w:rPr>
          <w:rFonts w:eastAsiaTheme="minorHAnsi"/>
          <w:lang w:eastAsia="en-US"/>
        </w:rPr>
      </w:pPr>
      <w:r w:rsidRPr="001041F2">
        <w:rPr>
          <w:rFonts w:eastAsiaTheme="minorHAnsi"/>
          <w:lang w:eastAsia="en-US"/>
        </w:rPr>
        <w:t>Le  Conseil National de Régulation comprend en son sein le Comité de Règlement des</w:t>
      </w:r>
    </w:p>
    <w:p w:rsidR="005E2402" w:rsidRPr="001041F2" w:rsidRDefault="005E2402" w:rsidP="006026FE">
      <w:pPr>
        <w:autoSpaceDE w:val="0"/>
        <w:autoSpaceDN w:val="0"/>
        <w:adjustRightInd w:val="0"/>
        <w:spacing w:line="276" w:lineRule="auto"/>
        <w:jc w:val="both"/>
        <w:rPr>
          <w:rFonts w:eastAsiaTheme="minorHAnsi"/>
          <w:lang w:eastAsia="en-US"/>
        </w:rPr>
      </w:pPr>
      <w:r w:rsidRPr="001041F2">
        <w:rPr>
          <w:rFonts w:eastAsiaTheme="minorHAnsi"/>
          <w:lang w:eastAsia="en-US"/>
        </w:rPr>
        <w:t>Différends et le Comité Ad' hoc d'arbitrage des litiges :</w:t>
      </w:r>
    </w:p>
    <w:p w:rsidR="005E2402" w:rsidRPr="001041F2" w:rsidRDefault="005E2402" w:rsidP="00D10A01">
      <w:pPr>
        <w:pStyle w:val="Paragraphedeliste"/>
        <w:numPr>
          <w:ilvl w:val="0"/>
          <w:numId w:val="15"/>
        </w:numPr>
        <w:autoSpaceDE w:val="0"/>
        <w:autoSpaceDN w:val="0"/>
        <w:adjustRightInd w:val="0"/>
        <w:spacing w:line="276" w:lineRule="auto"/>
        <w:jc w:val="both"/>
        <w:rPr>
          <w:rFonts w:eastAsiaTheme="minorHAnsi"/>
          <w:lang w:eastAsia="en-US"/>
        </w:rPr>
      </w:pPr>
      <w:r w:rsidRPr="001041F2">
        <w:rPr>
          <w:rFonts w:eastAsiaTheme="minorHAnsi"/>
          <w:lang w:eastAsia="en-US"/>
        </w:rPr>
        <w:t>Le Comité de Règlement des Différends est chargé de statuer sur les irrégularités et les recours relatifs à la passation des marchés publics.</w:t>
      </w:r>
    </w:p>
    <w:p w:rsidR="005E2402" w:rsidRPr="001041F2" w:rsidRDefault="005E2402" w:rsidP="00D10A01">
      <w:pPr>
        <w:pStyle w:val="Paragraphedeliste"/>
        <w:numPr>
          <w:ilvl w:val="0"/>
          <w:numId w:val="15"/>
        </w:numPr>
        <w:autoSpaceDE w:val="0"/>
        <w:autoSpaceDN w:val="0"/>
        <w:adjustRightInd w:val="0"/>
        <w:spacing w:line="276" w:lineRule="auto"/>
        <w:jc w:val="both"/>
        <w:rPr>
          <w:rFonts w:eastAsiaTheme="minorHAnsi"/>
          <w:lang w:eastAsia="en-US"/>
        </w:rPr>
      </w:pPr>
      <w:r w:rsidRPr="001041F2">
        <w:rPr>
          <w:rFonts w:eastAsiaTheme="minorHAnsi"/>
          <w:lang w:eastAsia="en-US"/>
        </w:rPr>
        <w:t>Le Comité ad' hoc d'arbitrage est chargé de statuer sur les litiges dans l'exécution des marchés publics.</w:t>
      </w:r>
    </w:p>
    <w:p w:rsidR="005E2402" w:rsidRPr="001041F2" w:rsidRDefault="005E2402" w:rsidP="006026FE">
      <w:pPr>
        <w:autoSpaceDE w:val="0"/>
        <w:autoSpaceDN w:val="0"/>
        <w:adjustRightInd w:val="0"/>
        <w:spacing w:line="276" w:lineRule="auto"/>
        <w:jc w:val="both"/>
        <w:rPr>
          <w:rFonts w:eastAsiaTheme="minorHAnsi"/>
          <w:lang w:eastAsia="en-US"/>
        </w:rPr>
      </w:pPr>
      <w:r w:rsidRPr="001041F2">
        <w:rPr>
          <w:rFonts w:eastAsiaTheme="minorHAnsi"/>
          <w:lang w:eastAsia="en-US"/>
        </w:rPr>
        <w:t>Le Secrétariat Exécutif est composé des directions techniques suivantes:</w:t>
      </w:r>
    </w:p>
    <w:p w:rsidR="005E2402" w:rsidRPr="001041F2" w:rsidRDefault="005E2402" w:rsidP="00D10A01">
      <w:pPr>
        <w:pStyle w:val="Paragraphedeliste"/>
        <w:numPr>
          <w:ilvl w:val="0"/>
          <w:numId w:val="16"/>
        </w:numPr>
        <w:autoSpaceDE w:val="0"/>
        <w:autoSpaceDN w:val="0"/>
        <w:adjustRightInd w:val="0"/>
        <w:spacing w:line="276" w:lineRule="auto"/>
        <w:jc w:val="both"/>
        <w:rPr>
          <w:rFonts w:eastAsiaTheme="minorHAnsi"/>
          <w:lang w:eastAsia="en-US"/>
        </w:rPr>
      </w:pPr>
      <w:r w:rsidRPr="001041F2">
        <w:rPr>
          <w:rFonts w:eastAsiaTheme="minorHAnsi"/>
          <w:lang w:eastAsia="en-US"/>
        </w:rPr>
        <w:t>La direction de la formation et des appuis techniques;</w:t>
      </w:r>
    </w:p>
    <w:p w:rsidR="005E2402" w:rsidRPr="001041F2" w:rsidRDefault="005E2402" w:rsidP="00D10A01">
      <w:pPr>
        <w:pStyle w:val="Paragraphedeliste"/>
        <w:numPr>
          <w:ilvl w:val="0"/>
          <w:numId w:val="16"/>
        </w:numPr>
        <w:autoSpaceDE w:val="0"/>
        <w:autoSpaceDN w:val="0"/>
        <w:adjustRightInd w:val="0"/>
        <w:spacing w:line="276" w:lineRule="auto"/>
        <w:jc w:val="both"/>
        <w:rPr>
          <w:rFonts w:eastAsiaTheme="minorHAnsi"/>
          <w:lang w:eastAsia="en-US"/>
        </w:rPr>
      </w:pPr>
      <w:r w:rsidRPr="001041F2">
        <w:rPr>
          <w:rFonts w:eastAsiaTheme="minorHAnsi"/>
          <w:lang w:eastAsia="en-US"/>
        </w:rPr>
        <w:t>La direction de la réglementation et des affaires juridiques;</w:t>
      </w:r>
    </w:p>
    <w:p w:rsidR="005E2402" w:rsidRPr="001041F2" w:rsidRDefault="005E2402" w:rsidP="00D10A01">
      <w:pPr>
        <w:pStyle w:val="Paragraphedeliste"/>
        <w:numPr>
          <w:ilvl w:val="0"/>
          <w:numId w:val="16"/>
        </w:numPr>
        <w:autoSpaceDE w:val="0"/>
        <w:autoSpaceDN w:val="0"/>
        <w:adjustRightInd w:val="0"/>
        <w:spacing w:line="276" w:lineRule="auto"/>
        <w:jc w:val="both"/>
        <w:rPr>
          <w:rFonts w:eastAsiaTheme="minorHAnsi"/>
          <w:lang w:eastAsia="en-US"/>
        </w:rPr>
      </w:pPr>
      <w:r w:rsidRPr="001041F2">
        <w:rPr>
          <w:rFonts w:eastAsiaTheme="minorHAnsi"/>
          <w:lang w:eastAsia="en-US"/>
        </w:rPr>
        <w:t>La direction de l'information et du suivi et évaluation;</w:t>
      </w:r>
    </w:p>
    <w:p w:rsidR="005E2402" w:rsidRPr="001041F2" w:rsidRDefault="005E2402" w:rsidP="00D10A01">
      <w:pPr>
        <w:pStyle w:val="Paragraphedeliste"/>
        <w:numPr>
          <w:ilvl w:val="0"/>
          <w:numId w:val="16"/>
        </w:numPr>
        <w:autoSpaceDE w:val="0"/>
        <w:autoSpaceDN w:val="0"/>
        <w:adjustRightInd w:val="0"/>
        <w:spacing w:line="276" w:lineRule="auto"/>
        <w:jc w:val="both"/>
        <w:rPr>
          <w:rFonts w:eastAsiaTheme="minorHAnsi"/>
          <w:lang w:eastAsia="en-US"/>
        </w:rPr>
      </w:pPr>
      <w:r w:rsidRPr="001041F2">
        <w:rPr>
          <w:rFonts w:eastAsiaTheme="minorHAnsi"/>
          <w:lang w:eastAsia="en-US"/>
        </w:rPr>
        <w:t>La direction des affaires administratives et financières.</w:t>
      </w:r>
    </w:p>
    <w:p w:rsidR="005E2402" w:rsidRPr="001041F2" w:rsidRDefault="005E2402" w:rsidP="006026FE">
      <w:pPr>
        <w:spacing w:line="276" w:lineRule="auto"/>
        <w:jc w:val="both"/>
        <w:rPr>
          <w:rFonts w:ascii="Arial" w:eastAsiaTheme="minorHAnsi" w:hAnsi="Arial" w:cs="Arial"/>
          <w:sz w:val="20"/>
          <w:szCs w:val="20"/>
          <w:lang w:eastAsia="en-US"/>
        </w:rPr>
      </w:pPr>
    </w:p>
    <w:p w:rsidR="005E2402" w:rsidRPr="001041F2" w:rsidRDefault="00724691" w:rsidP="006026FE">
      <w:pPr>
        <w:spacing w:line="276" w:lineRule="auto"/>
        <w:jc w:val="both"/>
      </w:pPr>
      <w:r>
        <w:rPr>
          <w:b/>
        </w:rPr>
        <w:t>3</w:t>
      </w:r>
      <w:r w:rsidR="005E2402">
        <w:rPr>
          <w:b/>
        </w:rPr>
        <w:t xml:space="preserve">.2 </w:t>
      </w:r>
      <w:r w:rsidR="005E2402" w:rsidRPr="001041F2">
        <w:rPr>
          <w:b/>
        </w:rPr>
        <w:t>La Direction Générale du Contrôle des Marchés publics et des engagements financiers (DGCMP/EF)</w:t>
      </w:r>
    </w:p>
    <w:p w:rsidR="005E2402" w:rsidRPr="001041F2" w:rsidRDefault="005E2402" w:rsidP="006026FE">
      <w:pPr>
        <w:spacing w:line="276" w:lineRule="auto"/>
        <w:jc w:val="both"/>
        <w:rPr>
          <w:b/>
        </w:rPr>
      </w:pPr>
    </w:p>
    <w:p w:rsidR="005E2402" w:rsidRPr="001041F2" w:rsidRDefault="005E2402" w:rsidP="006026FE">
      <w:pPr>
        <w:spacing w:line="276" w:lineRule="auto"/>
        <w:jc w:val="both"/>
      </w:pPr>
      <w:r w:rsidRPr="001041F2">
        <w:t>La DGCMP/EF est régit par le décret N° 2014-070/PRN/MF du 12 Février 2014 déterminant les missions et l’organisation de la Direction Générale du Contrôle des Marchés Publics et des engagements Financiers et fixant les attributions des contrôleurs des marchés publics et des engagements financiers.</w:t>
      </w:r>
    </w:p>
    <w:p w:rsidR="005E2402" w:rsidRPr="001041F2" w:rsidRDefault="005E2402" w:rsidP="006026FE">
      <w:pPr>
        <w:spacing w:line="276" w:lineRule="auto"/>
        <w:jc w:val="both"/>
      </w:pPr>
    </w:p>
    <w:p w:rsidR="005E2402" w:rsidRPr="001041F2" w:rsidRDefault="005E2402" w:rsidP="006026FE">
      <w:pPr>
        <w:spacing w:line="276" w:lineRule="auto"/>
        <w:jc w:val="both"/>
      </w:pPr>
      <w:r w:rsidRPr="001041F2">
        <w:t>La DGCMP/EF est chargée de mettre en œuvre la politique de contrôle de l’exécution du budget de l’Etat et de ses démembrements.</w:t>
      </w:r>
    </w:p>
    <w:p w:rsidR="005E2402" w:rsidRPr="001041F2" w:rsidRDefault="005E2402" w:rsidP="006026FE">
      <w:pPr>
        <w:spacing w:line="276" w:lineRule="auto"/>
        <w:jc w:val="both"/>
      </w:pPr>
      <w:r w:rsidRPr="001041F2">
        <w:t>Pour le volet des marchés publics la DGCMP/EF a pour missions :</w:t>
      </w:r>
    </w:p>
    <w:p w:rsidR="005E2402" w:rsidRPr="001041F2" w:rsidRDefault="005E2402" w:rsidP="00D10A01">
      <w:pPr>
        <w:pStyle w:val="Paragraphedeliste"/>
        <w:numPr>
          <w:ilvl w:val="0"/>
          <w:numId w:val="17"/>
        </w:numPr>
        <w:spacing w:line="276" w:lineRule="auto"/>
        <w:jc w:val="both"/>
      </w:pPr>
      <w:r w:rsidRPr="001041F2">
        <w:t xml:space="preserve">Contrôler l’application de la législation et de la réglementation sur les marchés publics, sans préjudice de l’exercice des pouvoirs généraux de contrôle des autres organes de l’Etat ; </w:t>
      </w:r>
    </w:p>
    <w:p w:rsidR="005E2402" w:rsidRPr="001041F2" w:rsidRDefault="005E2402" w:rsidP="00D10A01">
      <w:pPr>
        <w:pStyle w:val="Paragraphedeliste"/>
        <w:numPr>
          <w:ilvl w:val="0"/>
          <w:numId w:val="17"/>
        </w:numPr>
        <w:spacing w:line="276" w:lineRule="auto"/>
        <w:jc w:val="both"/>
      </w:pPr>
      <w:r w:rsidRPr="001041F2">
        <w:t>Assurer, en relation avec l’ARMP, la formation, l’information et le conseil de l’ensemble des acteurs de la commande publique sur la réglementation et les procédures applicables ;</w:t>
      </w:r>
    </w:p>
    <w:p w:rsidR="005E2402" w:rsidRPr="001041F2" w:rsidRDefault="005E2402" w:rsidP="00D10A01">
      <w:pPr>
        <w:pStyle w:val="Paragraphedeliste"/>
        <w:numPr>
          <w:ilvl w:val="0"/>
          <w:numId w:val="17"/>
        </w:numPr>
        <w:spacing w:line="276" w:lineRule="auto"/>
        <w:jc w:val="both"/>
      </w:pPr>
      <w:r w:rsidRPr="001041F2">
        <w:t>Contribuer en relation avec l’ARMP, à la collecte d’information  et des documents en vue de la constitution d’une banque de données des marchés publics.</w:t>
      </w:r>
    </w:p>
    <w:p w:rsidR="005E2402" w:rsidRPr="001041F2" w:rsidRDefault="005E2402" w:rsidP="006026FE">
      <w:pPr>
        <w:spacing w:line="276" w:lineRule="auto"/>
        <w:jc w:val="both"/>
      </w:pPr>
    </w:p>
    <w:p w:rsidR="005E2402" w:rsidRPr="001041F2" w:rsidRDefault="005E2402" w:rsidP="006026FE">
      <w:pPr>
        <w:spacing w:line="276" w:lineRule="auto"/>
        <w:jc w:val="both"/>
      </w:pPr>
      <w:r w:rsidRPr="001041F2">
        <w:t>La DGCMP comprend les directions et services suivants :</w:t>
      </w:r>
    </w:p>
    <w:p w:rsidR="005E2402" w:rsidRPr="001041F2" w:rsidRDefault="005E2402" w:rsidP="00D10A01">
      <w:pPr>
        <w:pStyle w:val="Paragraphedeliste"/>
        <w:numPr>
          <w:ilvl w:val="0"/>
          <w:numId w:val="18"/>
        </w:numPr>
        <w:spacing w:line="276" w:lineRule="auto"/>
        <w:jc w:val="both"/>
      </w:pPr>
      <w:r w:rsidRPr="001041F2">
        <w:t>Le secrétariat de la Direction Générale ;</w:t>
      </w:r>
    </w:p>
    <w:p w:rsidR="005E2402" w:rsidRPr="001041F2" w:rsidRDefault="005E2402" w:rsidP="00D10A01">
      <w:pPr>
        <w:pStyle w:val="Paragraphedeliste"/>
        <w:numPr>
          <w:ilvl w:val="0"/>
          <w:numId w:val="18"/>
        </w:numPr>
        <w:spacing w:line="276" w:lineRule="auto"/>
        <w:jc w:val="both"/>
      </w:pPr>
      <w:r w:rsidRPr="001041F2">
        <w:t>Le service de la documentation ;</w:t>
      </w:r>
    </w:p>
    <w:p w:rsidR="005E2402" w:rsidRPr="001041F2" w:rsidRDefault="005E2402" w:rsidP="00D10A01">
      <w:pPr>
        <w:pStyle w:val="Paragraphedeliste"/>
        <w:numPr>
          <w:ilvl w:val="0"/>
          <w:numId w:val="18"/>
        </w:numPr>
        <w:spacing w:line="276" w:lineRule="auto"/>
        <w:jc w:val="both"/>
      </w:pPr>
      <w:r w:rsidRPr="001041F2">
        <w:t>La direction des études et de la réglementation</w:t>
      </w:r>
    </w:p>
    <w:p w:rsidR="005E2402" w:rsidRPr="001041F2" w:rsidRDefault="005E2402" w:rsidP="00D10A01">
      <w:pPr>
        <w:pStyle w:val="Paragraphedeliste"/>
        <w:numPr>
          <w:ilvl w:val="0"/>
          <w:numId w:val="18"/>
        </w:numPr>
        <w:spacing w:line="276" w:lineRule="auto"/>
        <w:jc w:val="both"/>
      </w:pPr>
      <w:r w:rsidRPr="001041F2">
        <w:t>La direction des appuis conseils et de la formation</w:t>
      </w:r>
    </w:p>
    <w:p w:rsidR="005E2402" w:rsidRPr="001041F2" w:rsidRDefault="005E2402" w:rsidP="00D10A01">
      <w:pPr>
        <w:pStyle w:val="Paragraphedeliste"/>
        <w:numPr>
          <w:ilvl w:val="0"/>
          <w:numId w:val="18"/>
        </w:numPr>
        <w:spacing w:line="276" w:lineRule="auto"/>
        <w:jc w:val="both"/>
      </w:pPr>
      <w:r w:rsidRPr="001041F2">
        <w:t>La direction de l’information et des statistiques</w:t>
      </w:r>
    </w:p>
    <w:p w:rsidR="005E2402" w:rsidRPr="001041F2" w:rsidRDefault="005E2402" w:rsidP="00D10A01">
      <w:pPr>
        <w:pStyle w:val="Paragraphedeliste"/>
        <w:numPr>
          <w:ilvl w:val="0"/>
          <w:numId w:val="18"/>
        </w:numPr>
        <w:spacing w:line="276" w:lineRule="auto"/>
        <w:jc w:val="both"/>
      </w:pPr>
      <w:r w:rsidRPr="001041F2">
        <w:t>La direction des autorisations et des dérogations, du suivi du contrôle de la passation des marchés publics et des délégations du service public et des engagements financiers.</w:t>
      </w:r>
    </w:p>
    <w:p w:rsidR="005E2402" w:rsidRDefault="005E2402" w:rsidP="006026FE">
      <w:pPr>
        <w:spacing w:line="276" w:lineRule="auto"/>
        <w:jc w:val="both"/>
      </w:pPr>
    </w:p>
    <w:p w:rsidR="005E2402" w:rsidRPr="001041F2" w:rsidRDefault="00724691" w:rsidP="006026FE">
      <w:pPr>
        <w:spacing w:line="276" w:lineRule="auto"/>
        <w:jc w:val="both"/>
      </w:pPr>
      <w:r>
        <w:rPr>
          <w:b/>
        </w:rPr>
        <w:lastRenderedPageBreak/>
        <w:t>3</w:t>
      </w:r>
      <w:r w:rsidR="005E2402">
        <w:rPr>
          <w:b/>
        </w:rPr>
        <w:t xml:space="preserve">.3 </w:t>
      </w:r>
      <w:r w:rsidR="005E2402" w:rsidRPr="001041F2">
        <w:rPr>
          <w:b/>
        </w:rPr>
        <w:t>Les  Autorités Contractantes (AC)</w:t>
      </w:r>
    </w:p>
    <w:p w:rsidR="005E2402" w:rsidRPr="001041F2" w:rsidRDefault="005E2402" w:rsidP="00D10A01">
      <w:pPr>
        <w:pStyle w:val="Paragraphedeliste"/>
        <w:numPr>
          <w:ilvl w:val="0"/>
          <w:numId w:val="19"/>
        </w:numPr>
        <w:spacing w:line="276" w:lineRule="auto"/>
        <w:jc w:val="both"/>
        <w:rPr>
          <w:b/>
          <w:i/>
          <w:u w:val="single"/>
        </w:rPr>
      </w:pPr>
      <w:r w:rsidRPr="001041F2">
        <w:rPr>
          <w:b/>
          <w:i/>
          <w:u w:val="single"/>
        </w:rPr>
        <w:t xml:space="preserve">L’autorité contractante </w:t>
      </w:r>
    </w:p>
    <w:p w:rsidR="005E2402" w:rsidRPr="001041F2" w:rsidRDefault="005E2402" w:rsidP="006026FE">
      <w:pPr>
        <w:spacing w:line="276" w:lineRule="auto"/>
        <w:jc w:val="both"/>
      </w:pPr>
      <w:r w:rsidRPr="001041F2">
        <w:t>Selon le code des marchés publics, l</w:t>
      </w:r>
      <w:r w:rsidRPr="001041F2">
        <w:rPr>
          <w:rFonts w:eastAsiaTheme="minorHAnsi"/>
          <w:bCs/>
          <w:lang w:eastAsia="en-US"/>
        </w:rPr>
        <w:t xml:space="preserve">’Autorité contractante </w:t>
      </w:r>
      <w:r w:rsidRPr="001041F2">
        <w:rPr>
          <w:rFonts w:eastAsiaTheme="minorHAnsi"/>
          <w:lang w:eastAsia="en-US"/>
        </w:rPr>
        <w:t>est la personne morale de droit public ou de droit privé (l' Etat, les Collectivités Territoriales, les Etablissements Publics, les Sociétés d'Etat et les Sociétés à participation financière publique majoritaire, les personnes morales de droit privé agissant pour le compte de l'Etat ou de personnes morales de droit public lorsqu'elles bénéficient de leur concours financier ou de leur garantie, les associations formées par une ou plusieurs de ces personnes morales de droit public), signataire d'un marché public;</w:t>
      </w:r>
    </w:p>
    <w:p w:rsidR="005E2402" w:rsidRPr="001041F2" w:rsidRDefault="005E2402" w:rsidP="006026FE">
      <w:pPr>
        <w:spacing w:line="276" w:lineRule="auto"/>
        <w:jc w:val="both"/>
        <w:rPr>
          <w:rFonts w:eastAsiaTheme="minorHAnsi"/>
          <w:lang w:eastAsia="en-US"/>
        </w:rPr>
      </w:pPr>
    </w:p>
    <w:p w:rsidR="005E2402" w:rsidRPr="001041F2" w:rsidRDefault="005E2402" w:rsidP="006026FE">
      <w:pPr>
        <w:autoSpaceDE w:val="0"/>
        <w:autoSpaceDN w:val="0"/>
        <w:adjustRightInd w:val="0"/>
        <w:spacing w:line="276" w:lineRule="auto"/>
        <w:jc w:val="both"/>
        <w:rPr>
          <w:rFonts w:eastAsiaTheme="minorHAnsi"/>
          <w:lang w:eastAsia="en-US"/>
        </w:rPr>
      </w:pPr>
      <w:r w:rsidRPr="001041F2">
        <w:rPr>
          <w:rFonts w:eastAsiaTheme="minorHAnsi"/>
          <w:lang w:eastAsia="en-US"/>
        </w:rPr>
        <w:t>L'autorité contractante peut mandater une personne responsable du marché chargée de mettre en œuvre les procédures de passation et d'exécution des marchés publics et des délégations de service public. La personne responsable du marché peut se faire représenter dans l'exercice de ses fonctions, sauf pour le choix de l'attributaire et la signature du marché ou de la délégation de service public.</w:t>
      </w:r>
    </w:p>
    <w:p w:rsidR="005E2402" w:rsidRPr="001041F2" w:rsidRDefault="005E2402" w:rsidP="006026FE">
      <w:pPr>
        <w:autoSpaceDE w:val="0"/>
        <w:autoSpaceDN w:val="0"/>
        <w:adjustRightInd w:val="0"/>
        <w:spacing w:line="276" w:lineRule="auto"/>
        <w:jc w:val="both"/>
        <w:rPr>
          <w:rFonts w:eastAsiaTheme="minorHAnsi"/>
          <w:b/>
          <w:bCs/>
          <w:lang w:eastAsia="en-US"/>
        </w:rPr>
      </w:pPr>
    </w:p>
    <w:p w:rsidR="005E2402" w:rsidRPr="006C6479" w:rsidRDefault="005E2402" w:rsidP="00D10A01">
      <w:pPr>
        <w:pStyle w:val="Paragraphedeliste"/>
        <w:numPr>
          <w:ilvl w:val="0"/>
          <w:numId w:val="19"/>
        </w:numPr>
        <w:autoSpaceDE w:val="0"/>
        <w:autoSpaceDN w:val="0"/>
        <w:adjustRightInd w:val="0"/>
        <w:spacing w:line="276" w:lineRule="auto"/>
        <w:jc w:val="both"/>
        <w:rPr>
          <w:rFonts w:eastAsiaTheme="minorHAnsi"/>
          <w:b/>
          <w:bCs/>
          <w:i/>
          <w:u w:val="single"/>
          <w:lang w:eastAsia="en-US"/>
        </w:rPr>
      </w:pPr>
      <w:r>
        <w:rPr>
          <w:rFonts w:eastAsiaTheme="minorHAnsi"/>
          <w:b/>
          <w:bCs/>
          <w:i/>
          <w:u w:val="single"/>
          <w:lang w:eastAsia="en-US"/>
        </w:rPr>
        <w:t xml:space="preserve">Les Directions </w:t>
      </w:r>
      <w:r w:rsidRPr="00291B9C">
        <w:rPr>
          <w:rFonts w:eastAsiaTheme="minorHAnsi"/>
          <w:b/>
          <w:bCs/>
          <w:i/>
          <w:u w:val="single"/>
          <w:lang w:eastAsia="en-US"/>
        </w:rPr>
        <w:t xml:space="preserve"> des marchés publics (DMP)</w:t>
      </w:r>
    </w:p>
    <w:p w:rsidR="005E2402" w:rsidRDefault="005E2402" w:rsidP="006026FE">
      <w:pPr>
        <w:spacing w:line="276" w:lineRule="auto"/>
        <w:jc w:val="both"/>
      </w:pPr>
      <w:r w:rsidRPr="006C6479">
        <w:rPr>
          <w:rFonts w:eastAsiaTheme="minorHAnsi"/>
          <w:bCs/>
          <w:lang w:eastAsia="en-US"/>
        </w:rPr>
        <w:t xml:space="preserve">Le </w:t>
      </w:r>
      <w:r w:rsidRPr="006C6479">
        <w:t>Décret n° 2013-002/PRN/PM du 04 Janvier 2013 portant création des Directions des Marchés Publics et des Délégations de Service Public au sein des Ministères</w:t>
      </w:r>
      <w:r>
        <w:t>.</w:t>
      </w:r>
    </w:p>
    <w:p w:rsidR="005E2402" w:rsidRPr="006C6479" w:rsidRDefault="005E2402" w:rsidP="006026FE">
      <w:pPr>
        <w:spacing w:line="276" w:lineRule="auto"/>
        <w:jc w:val="both"/>
        <w:rPr>
          <w:rFonts w:eastAsiaTheme="minorHAnsi"/>
          <w:lang w:eastAsia="en-US"/>
        </w:rPr>
      </w:pPr>
      <w:r>
        <w:t xml:space="preserve">Le directeur des Marchés Publics et des Délégations de Service Public est chargé sous l’autorité du Ministre, de la planification, de la préparation et de la mise en œuvre des procédures de passation des marchés publics financés sur le budget de l’Etat et/ou sur fonds extérieurs. A ce titre, il exerce les </w:t>
      </w:r>
      <w:r w:rsidRPr="006C6479">
        <w:rPr>
          <w:rFonts w:eastAsiaTheme="minorHAnsi"/>
          <w:lang w:eastAsia="en-US"/>
        </w:rPr>
        <w:t xml:space="preserve"> attributions </w:t>
      </w:r>
      <w:r>
        <w:rPr>
          <w:rFonts w:eastAsiaTheme="minorHAnsi"/>
          <w:lang w:eastAsia="en-US"/>
        </w:rPr>
        <w:t>suivantes</w:t>
      </w:r>
      <w:r w:rsidRPr="006C6479">
        <w:rPr>
          <w:rFonts w:eastAsiaTheme="minorHAnsi"/>
          <w:lang w:eastAsia="en-US"/>
        </w:rPr>
        <w:t> :</w:t>
      </w:r>
    </w:p>
    <w:p w:rsidR="005E2402" w:rsidRPr="00B42A08" w:rsidRDefault="005E2402" w:rsidP="00D10A01">
      <w:pPr>
        <w:pStyle w:val="Paragraphedeliste"/>
        <w:numPr>
          <w:ilvl w:val="0"/>
          <w:numId w:val="21"/>
        </w:numPr>
        <w:spacing w:line="276" w:lineRule="auto"/>
        <w:jc w:val="both"/>
      </w:pPr>
      <w:r w:rsidRPr="00B42A08">
        <w:t>élaborer et publier les plans prévisionnels annuels de passation des marchés publics, régulièrement actualisés ;</w:t>
      </w:r>
    </w:p>
    <w:p w:rsidR="005E2402" w:rsidRPr="00B42A08" w:rsidRDefault="005E2402" w:rsidP="00D10A01">
      <w:pPr>
        <w:pStyle w:val="Paragraphedeliste"/>
        <w:numPr>
          <w:ilvl w:val="0"/>
          <w:numId w:val="21"/>
        </w:numPr>
        <w:spacing w:line="276" w:lineRule="auto"/>
        <w:jc w:val="both"/>
      </w:pPr>
      <w:r w:rsidRPr="00B42A08">
        <w:t>élaborer et publier, en début d’année, les avis généraux annuels de passation des marchés publics, conformément aux dispositions des articles 27 et 68 du Code des marchés publics et des délégations de service public ;</w:t>
      </w:r>
    </w:p>
    <w:p w:rsidR="005E2402" w:rsidRPr="00B42A08" w:rsidRDefault="005E2402" w:rsidP="00D10A01">
      <w:pPr>
        <w:pStyle w:val="Paragraphedeliste"/>
        <w:numPr>
          <w:ilvl w:val="0"/>
          <w:numId w:val="21"/>
        </w:numPr>
        <w:spacing w:line="276" w:lineRule="auto"/>
        <w:jc w:val="both"/>
      </w:pPr>
      <w:r w:rsidRPr="00B42A08">
        <w:t>Veiller à l’adaptation des cahiers des clauses administrative générales prévus par l’article 28 du code des marchés publics et des délégations de service public ;</w:t>
      </w:r>
    </w:p>
    <w:p w:rsidR="005E2402" w:rsidRPr="00B42A08" w:rsidRDefault="005E2402" w:rsidP="00D10A01">
      <w:pPr>
        <w:pStyle w:val="Paragraphedeliste"/>
        <w:numPr>
          <w:ilvl w:val="0"/>
          <w:numId w:val="21"/>
        </w:numPr>
        <w:spacing w:line="276" w:lineRule="auto"/>
        <w:jc w:val="both"/>
      </w:pPr>
      <w:r w:rsidRPr="00B42A08">
        <w:t>Veiller à l’élaboration des cahiers des clauses administratives et techniques et ceux des clauses administratives et particulière par les services techniques concernés ;</w:t>
      </w:r>
    </w:p>
    <w:p w:rsidR="005E2402" w:rsidRPr="00B42A08" w:rsidRDefault="005E2402" w:rsidP="00D10A01">
      <w:pPr>
        <w:pStyle w:val="Paragraphedeliste"/>
        <w:numPr>
          <w:ilvl w:val="0"/>
          <w:numId w:val="21"/>
        </w:numPr>
        <w:spacing w:line="276" w:lineRule="auto"/>
        <w:jc w:val="both"/>
      </w:pPr>
      <w:r>
        <w:t>e</w:t>
      </w:r>
      <w:r w:rsidRPr="00B42A08">
        <w:t>xaminer au préalable tout document à soumettre à l’autorité contractante et à transmettre à des tiers en matière de marchés publics ;</w:t>
      </w:r>
    </w:p>
    <w:p w:rsidR="005E2402" w:rsidRPr="00B42A08" w:rsidRDefault="005E2402" w:rsidP="00D10A01">
      <w:pPr>
        <w:pStyle w:val="Paragraphedeliste"/>
        <w:numPr>
          <w:ilvl w:val="0"/>
          <w:numId w:val="21"/>
        </w:numPr>
        <w:spacing w:line="276" w:lineRule="auto"/>
        <w:jc w:val="both"/>
      </w:pPr>
      <w:r w:rsidRPr="00B42A08">
        <w:t>Préparer les dossiers d’appel d’offres (DAO) en collaboration avec les services techniques concernés ;</w:t>
      </w:r>
    </w:p>
    <w:p w:rsidR="005E2402" w:rsidRPr="00B42A08" w:rsidRDefault="005E2402" w:rsidP="00D10A01">
      <w:pPr>
        <w:pStyle w:val="Paragraphedeliste"/>
        <w:numPr>
          <w:ilvl w:val="0"/>
          <w:numId w:val="21"/>
        </w:numPr>
        <w:spacing w:line="276" w:lineRule="auto"/>
        <w:jc w:val="both"/>
      </w:pPr>
      <w:r w:rsidRPr="00B42A08">
        <w:t>mettre en œuvre les procédures de passation des marchés publics ;</w:t>
      </w:r>
    </w:p>
    <w:p w:rsidR="005E2402" w:rsidRPr="00B42A08" w:rsidRDefault="005E2402" w:rsidP="00D10A01">
      <w:pPr>
        <w:pStyle w:val="Paragraphedeliste"/>
        <w:numPr>
          <w:ilvl w:val="0"/>
          <w:numId w:val="21"/>
        </w:numPr>
        <w:spacing w:line="276" w:lineRule="auto"/>
        <w:jc w:val="both"/>
      </w:pPr>
      <w:r w:rsidRPr="00B42A08">
        <w:t>publier les avis d’appel d’offres et, éventuellement, les modifications du DAO conformément aux dispositions du code des marchés publics et des délégations de service public ;</w:t>
      </w:r>
    </w:p>
    <w:p w:rsidR="005E2402" w:rsidRPr="00B42A08" w:rsidRDefault="005E2402" w:rsidP="00D10A01">
      <w:pPr>
        <w:pStyle w:val="Paragraphedeliste"/>
        <w:numPr>
          <w:ilvl w:val="0"/>
          <w:numId w:val="21"/>
        </w:numPr>
        <w:spacing w:line="276" w:lineRule="auto"/>
        <w:jc w:val="both"/>
      </w:pPr>
      <w:r w:rsidRPr="00B42A08">
        <w:t xml:space="preserve">publier les reports éventuels des dates d’ouverture des plis ; </w:t>
      </w:r>
    </w:p>
    <w:p w:rsidR="005E2402" w:rsidRPr="00B42A08" w:rsidRDefault="005E2402" w:rsidP="00D10A01">
      <w:pPr>
        <w:pStyle w:val="Paragraphedeliste"/>
        <w:numPr>
          <w:ilvl w:val="0"/>
          <w:numId w:val="21"/>
        </w:numPr>
        <w:spacing w:line="276" w:lineRule="auto"/>
        <w:jc w:val="both"/>
      </w:pPr>
      <w:r w:rsidRPr="00B42A08">
        <w:t>recevoir et sécuriser les offres des soumissionnaires ;</w:t>
      </w:r>
    </w:p>
    <w:p w:rsidR="005E2402" w:rsidRPr="00B42A08" w:rsidRDefault="005E2402" w:rsidP="00D10A01">
      <w:pPr>
        <w:pStyle w:val="Paragraphedeliste"/>
        <w:numPr>
          <w:ilvl w:val="0"/>
          <w:numId w:val="21"/>
        </w:numPr>
        <w:spacing w:line="276" w:lineRule="auto"/>
        <w:jc w:val="both"/>
      </w:pPr>
      <w:r w:rsidRPr="00B42A08">
        <w:lastRenderedPageBreak/>
        <w:t>transmettre les lettres de notification aux soumissionnaires en cas d’adjudication ou de rejet ;</w:t>
      </w:r>
    </w:p>
    <w:p w:rsidR="005E2402" w:rsidRPr="00B42A08" w:rsidRDefault="005E2402" w:rsidP="00D10A01">
      <w:pPr>
        <w:pStyle w:val="Paragraphedeliste"/>
        <w:numPr>
          <w:ilvl w:val="0"/>
          <w:numId w:val="21"/>
        </w:numPr>
        <w:spacing w:line="276" w:lineRule="auto"/>
        <w:jc w:val="both"/>
      </w:pPr>
      <w:r w:rsidRPr="00B42A08">
        <w:t>identifier les besoins de formation des services en matière de marches publics ;</w:t>
      </w:r>
    </w:p>
    <w:p w:rsidR="005E2402" w:rsidRPr="00B42A08" w:rsidRDefault="005E2402" w:rsidP="00D10A01">
      <w:pPr>
        <w:pStyle w:val="Paragraphedeliste"/>
        <w:numPr>
          <w:ilvl w:val="0"/>
          <w:numId w:val="21"/>
        </w:numPr>
        <w:spacing w:line="276" w:lineRule="auto"/>
        <w:jc w:val="both"/>
      </w:pPr>
      <w:r w:rsidRPr="00B42A08">
        <w:t>suivre mensuellement les informations relatives à la passation et à l’exécution des marchés passés par les projets sous tutelle du ministère ;</w:t>
      </w:r>
    </w:p>
    <w:p w:rsidR="005E2402" w:rsidRPr="00B42A08" w:rsidRDefault="005E2402" w:rsidP="00D10A01">
      <w:pPr>
        <w:pStyle w:val="Paragraphedeliste"/>
        <w:numPr>
          <w:ilvl w:val="0"/>
          <w:numId w:val="21"/>
        </w:numPr>
        <w:spacing w:line="276" w:lineRule="auto"/>
        <w:jc w:val="both"/>
      </w:pPr>
      <w:r w:rsidRPr="00B42A08">
        <w:t>classer et archiver tous les documents relatifs aux marchés publics passés par les différents services ;</w:t>
      </w:r>
    </w:p>
    <w:p w:rsidR="005E2402" w:rsidRPr="00B42A08" w:rsidRDefault="005E2402" w:rsidP="00D10A01">
      <w:pPr>
        <w:pStyle w:val="Paragraphedeliste"/>
        <w:numPr>
          <w:ilvl w:val="0"/>
          <w:numId w:val="21"/>
        </w:numPr>
        <w:spacing w:line="276" w:lineRule="auto"/>
        <w:jc w:val="both"/>
      </w:pPr>
      <w:r w:rsidRPr="00B42A08">
        <w:t>mettre en place une banque de données sur tous les marchés passés par le ministère y compris les marchés financés sur ressources extérieures ;</w:t>
      </w:r>
    </w:p>
    <w:p w:rsidR="005E2402" w:rsidRPr="00B42A08" w:rsidRDefault="005E2402" w:rsidP="00D10A01">
      <w:pPr>
        <w:pStyle w:val="Paragraphedeliste"/>
        <w:numPr>
          <w:ilvl w:val="0"/>
          <w:numId w:val="21"/>
        </w:numPr>
        <w:spacing w:line="276" w:lineRule="auto"/>
        <w:jc w:val="both"/>
      </w:pPr>
      <w:r w:rsidRPr="00B42A08">
        <w:t xml:space="preserve">établir le rapport annuel d’activités de la direction. </w:t>
      </w:r>
    </w:p>
    <w:p w:rsidR="006F5C49" w:rsidRDefault="006F5C49"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6026FE" w:rsidRDefault="006026FE" w:rsidP="006026FE">
      <w:pPr>
        <w:spacing w:line="276" w:lineRule="auto"/>
        <w:jc w:val="both"/>
        <w:rPr>
          <w:b/>
        </w:rPr>
      </w:pPr>
    </w:p>
    <w:p w:rsidR="00B56491" w:rsidRDefault="00A93D2F" w:rsidP="006026FE">
      <w:pPr>
        <w:spacing w:line="276" w:lineRule="auto"/>
        <w:jc w:val="both"/>
        <w:rPr>
          <w:b/>
        </w:rPr>
      </w:pPr>
      <w:r>
        <w:rPr>
          <w:b/>
          <w:bCs/>
          <w:noProof/>
        </w:rPr>
        <w:pict>
          <v:roundrect id="_x0000_s1030" style="position:absolute;left:0;text-align:left;margin-left:17.65pt;margin-top:20.95pt;width:354.75pt;height:39.75pt;z-index:251668480;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" strokecolor="#9cc2e5" strokeweight="1pt">
            <v:fill color2="#bdd6ee" focus="100%" type="gradient"/>
            <v:shadow on="t" color="#1f4d78" opacity=".5" offset="1pt"/>
            <v:textbox>
              <w:txbxContent>
                <w:p w:rsidR="00E9635E" w:rsidRDefault="00E9635E" w:rsidP="00B56491">
                  <w:pPr>
                    <w:spacing w:line="360" w:lineRule="auto"/>
                    <w:jc w:val="center"/>
                    <w:rPr>
                      <w:b/>
                    </w:rPr>
                  </w:pPr>
                  <w:r>
                    <w:rPr>
                      <w:b/>
                    </w:rPr>
                    <w:t>IV PRESENTATION DE L’ECHANTILLONNAGE</w:t>
                  </w:r>
                </w:p>
                <w:p w:rsidR="00E9635E" w:rsidRDefault="00E9635E" w:rsidP="00B56491"/>
              </w:txbxContent>
            </v:textbox>
            <w10:wrap anchorx="margin"/>
          </v:roundrect>
        </w:pict>
      </w: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C00D71" w:rsidRDefault="00C00D71" w:rsidP="006026FE">
      <w:pPr>
        <w:spacing w:line="276" w:lineRule="auto"/>
        <w:jc w:val="both"/>
        <w:rPr>
          <w:b/>
        </w:rPr>
      </w:pPr>
    </w:p>
    <w:p w:rsidR="00C00D71" w:rsidRDefault="00C00D71" w:rsidP="006026FE">
      <w:pPr>
        <w:spacing w:line="276" w:lineRule="auto"/>
        <w:jc w:val="both"/>
        <w:rPr>
          <w:b/>
        </w:rPr>
      </w:pPr>
    </w:p>
    <w:p w:rsidR="00A720C5" w:rsidRDefault="00A720C5" w:rsidP="006026FE">
      <w:pPr>
        <w:spacing w:line="276" w:lineRule="auto"/>
        <w:jc w:val="both"/>
        <w:rPr>
          <w:b/>
        </w:rPr>
      </w:pPr>
    </w:p>
    <w:p w:rsidR="00A720C5" w:rsidRDefault="00A720C5" w:rsidP="006026FE">
      <w:pPr>
        <w:spacing w:line="276" w:lineRule="auto"/>
        <w:jc w:val="both"/>
        <w:rPr>
          <w:b/>
        </w:rPr>
      </w:pPr>
    </w:p>
    <w:p w:rsidR="00A720C5" w:rsidRDefault="00A720C5" w:rsidP="006026FE">
      <w:pPr>
        <w:spacing w:line="276" w:lineRule="auto"/>
        <w:jc w:val="both"/>
        <w:rPr>
          <w:b/>
        </w:rPr>
      </w:pPr>
    </w:p>
    <w:p w:rsidR="005E2402" w:rsidRDefault="00724691" w:rsidP="006026FE">
      <w:pPr>
        <w:spacing w:line="276" w:lineRule="auto"/>
        <w:jc w:val="both"/>
        <w:rPr>
          <w:b/>
        </w:rPr>
      </w:pPr>
      <w:r>
        <w:rPr>
          <w:b/>
        </w:rPr>
        <w:t>IV</w:t>
      </w:r>
      <w:r w:rsidR="00106564">
        <w:rPr>
          <w:b/>
        </w:rPr>
        <w:t>-</w:t>
      </w:r>
      <w:r>
        <w:rPr>
          <w:b/>
        </w:rPr>
        <w:t xml:space="preserve"> Présentation de l’échantillonnage</w:t>
      </w:r>
    </w:p>
    <w:p w:rsidR="005E2402" w:rsidRPr="00F86022" w:rsidRDefault="00724691" w:rsidP="006026FE">
      <w:pPr>
        <w:spacing w:line="276" w:lineRule="auto"/>
        <w:jc w:val="both"/>
        <w:rPr>
          <w:b/>
        </w:rPr>
      </w:pPr>
      <w:r w:rsidRPr="00F86022">
        <w:rPr>
          <w:b/>
        </w:rPr>
        <w:t>4.1</w:t>
      </w:r>
      <w:r w:rsidR="005E2402" w:rsidRPr="00F86022">
        <w:rPr>
          <w:b/>
        </w:rPr>
        <w:t xml:space="preserve"> Analyse préalable de la population de marchés du lot </w:t>
      </w:r>
      <w:r w:rsidR="00F86022" w:rsidRPr="00F86022">
        <w:rPr>
          <w:b/>
        </w:rPr>
        <w:t>2</w:t>
      </w:r>
    </w:p>
    <w:p w:rsidR="000B5368" w:rsidRPr="000B5368" w:rsidRDefault="005E2402" w:rsidP="006026FE">
      <w:pPr>
        <w:spacing w:line="276" w:lineRule="auto"/>
        <w:jc w:val="both"/>
        <w:rPr>
          <w:color w:val="000000"/>
          <w:sz w:val="20"/>
          <w:szCs w:val="20"/>
        </w:rPr>
      </w:pPr>
      <w:r w:rsidRPr="00F86022">
        <w:rPr>
          <w:rFonts w:eastAsiaTheme="minorHAnsi"/>
          <w:lang w:eastAsia="en-US"/>
        </w:rPr>
        <w:t xml:space="preserve">Le choix des marchés de notre échantillon a été réalisé à partir de la liste des marchés communiqués par l’ARMP. </w:t>
      </w:r>
      <w:r w:rsidRPr="000B5368">
        <w:rPr>
          <w:rFonts w:eastAsiaTheme="minorHAnsi"/>
          <w:lang w:eastAsia="en-US"/>
        </w:rPr>
        <w:t xml:space="preserve">Cette liste des marchés 2015 comprend </w:t>
      </w:r>
      <w:r w:rsidR="000B5368">
        <w:rPr>
          <w:rFonts w:eastAsiaTheme="minorHAnsi"/>
          <w:lang w:eastAsia="en-US"/>
        </w:rPr>
        <w:t>150</w:t>
      </w:r>
      <w:r w:rsidRPr="000B5368">
        <w:rPr>
          <w:rFonts w:eastAsiaTheme="minorHAnsi"/>
          <w:lang w:eastAsia="en-US"/>
        </w:rPr>
        <w:t xml:space="preserve"> marchés </w:t>
      </w:r>
      <w:r w:rsidR="003E31AD" w:rsidRPr="000B5368">
        <w:rPr>
          <w:rFonts w:eastAsiaTheme="minorHAnsi"/>
          <w:lang w:eastAsia="en-US"/>
        </w:rPr>
        <w:t xml:space="preserve">pour un montant total </w:t>
      </w:r>
      <w:r w:rsidR="000B5368">
        <w:rPr>
          <w:rFonts w:eastAsiaTheme="minorHAnsi"/>
          <w:lang w:eastAsia="en-US"/>
        </w:rPr>
        <w:t>56 745 282 193</w:t>
      </w:r>
      <w:r w:rsidR="003E31AD" w:rsidRPr="000B5368">
        <w:rPr>
          <w:rFonts w:eastAsiaTheme="minorHAnsi"/>
          <w:lang w:eastAsia="en-US"/>
        </w:rPr>
        <w:t xml:space="preserve"> F CFA</w:t>
      </w:r>
    </w:p>
    <w:p w:rsidR="005E2402" w:rsidRPr="00F86022" w:rsidRDefault="005E2402" w:rsidP="006026FE">
      <w:pPr>
        <w:autoSpaceDE w:val="0"/>
        <w:autoSpaceDN w:val="0"/>
        <w:adjustRightInd w:val="0"/>
        <w:spacing w:line="276" w:lineRule="auto"/>
        <w:jc w:val="both"/>
        <w:rPr>
          <w:rFonts w:eastAsiaTheme="minorHAnsi"/>
          <w:lang w:eastAsia="en-US"/>
        </w:rPr>
      </w:pPr>
    </w:p>
    <w:p w:rsidR="005E2402" w:rsidRPr="005D20EB" w:rsidRDefault="005E2402" w:rsidP="006026FE">
      <w:pPr>
        <w:autoSpaceDE w:val="0"/>
        <w:autoSpaceDN w:val="0"/>
        <w:adjustRightInd w:val="0"/>
        <w:spacing w:line="276" w:lineRule="auto"/>
        <w:jc w:val="both"/>
        <w:rPr>
          <w:rFonts w:eastAsiaTheme="minorHAnsi"/>
          <w:lang w:eastAsia="en-US"/>
        </w:rPr>
      </w:pPr>
      <w:r w:rsidRPr="00F86022">
        <w:rPr>
          <w:rFonts w:eastAsiaTheme="minorHAnsi"/>
          <w:lang w:eastAsia="en-US"/>
        </w:rPr>
        <w:t>La liste des marchés fournie par l’ARMP comportaient des marchés dont les montants ne figuraient pas dans la colonne « Montant de l’adjudication ».Cela nous a conduit à exclure ces marchés de la liste pour le choix de  l’échantillon.</w:t>
      </w:r>
    </w:p>
    <w:p w:rsidR="005E2402" w:rsidRDefault="005E2402" w:rsidP="006026FE">
      <w:pPr>
        <w:spacing w:line="276" w:lineRule="auto"/>
        <w:jc w:val="both"/>
        <w:rPr>
          <w:b/>
        </w:rPr>
      </w:pPr>
    </w:p>
    <w:p w:rsidR="005E2402" w:rsidRDefault="00724691" w:rsidP="006026FE">
      <w:pPr>
        <w:spacing w:line="276" w:lineRule="auto"/>
        <w:jc w:val="both"/>
        <w:rPr>
          <w:b/>
        </w:rPr>
      </w:pPr>
      <w:r>
        <w:rPr>
          <w:b/>
        </w:rPr>
        <w:t>4</w:t>
      </w:r>
      <w:r w:rsidR="005E2402">
        <w:rPr>
          <w:b/>
        </w:rPr>
        <w:t>.2</w:t>
      </w:r>
      <w:r w:rsidR="000B5368">
        <w:rPr>
          <w:b/>
        </w:rPr>
        <w:t xml:space="preserve"> Choix de l’échantillon du lot 2</w:t>
      </w:r>
      <w:r w:rsidR="005E2402">
        <w:rPr>
          <w:b/>
        </w:rPr>
        <w:t xml:space="preserve"> et validation par l’ARMP</w:t>
      </w:r>
    </w:p>
    <w:p w:rsidR="005E2402" w:rsidRDefault="00724691" w:rsidP="006026FE">
      <w:pPr>
        <w:spacing w:line="276" w:lineRule="auto"/>
        <w:jc w:val="both"/>
        <w:rPr>
          <w:b/>
        </w:rPr>
      </w:pPr>
      <w:r>
        <w:rPr>
          <w:b/>
        </w:rPr>
        <w:t>4</w:t>
      </w:r>
      <w:r w:rsidR="005E2402">
        <w:rPr>
          <w:b/>
        </w:rPr>
        <w:t>.2.1 Règles de choix</w:t>
      </w:r>
    </w:p>
    <w:p w:rsidR="005E2402" w:rsidRPr="0053132A" w:rsidRDefault="005E2402" w:rsidP="006026FE">
      <w:pPr>
        <w:spacing w:line="276" w:lineRule="auto"/>
        <w:jc w:val="both"/>
      </w:pPr>
      <w:r>
        <w:rPr>
          <w:rFonts w:eastAsiaTheme="minorHAnsi"/>
          <w:lang w:eastAsia="en-US"/>
        </w:rPr>
        <w:t>Conformément aux</w:t>
      </w:r>
      <w:r w:rsidRPr="00DD09EA">
        <w:rPr>
          <w:rFonts w:eastAsiaTheme="minorHAnsi"/>
          <w:lang w:eastAsia="en-US"/>
        </w:rPr>
        <w:t xml:space="preserve"> termes de référence la composition de l’échantillon des marchés à auditer </w:t>
      </w:r>
      <w:r>
        <w:rPr>
          <w:rFonts w:eastAsiaTheme="minorHAnsi"/>
          <w:lang w:eastAsia="en-US"/>
        </w:rPr>
        <w:t xml:space="preserve">pour le </w:t>
      </w:r>
      <w:r w:rsidR="000B5368">
        <w:rPr>
          <w:color w:val="000000" w:themeColor="text1"/>
        </w:rPr>
        <w:t>« Lot 2</w:t>
      </w:r>
      <w:r w:rsidR="0053132A" w:rsidRPr="00A21EC5">
        <w:t>Marchés publics passés par les Etablissements Publics, les Sociétés d’Etat et les Sociétés d’Economie Mixte  et les  marchés publics passés par les Régions de Niamey et de Tillabéri.</w:t>
      </w:r>
      <w:r>
        <w:t>»</w:t>
      </w:r>
      <w:r w:rsidR="00CE3557">
        <w:t xml:space="preserve"> </w:t>
      </w:r>
      <w:r>
        <w:rPr>
          <w:rFonts w:eastAsiaTheme="minorHAnsi"/>
          <w:lang w:eastAsia="en-US"/>
        </w:rPr>
        <w:t xml:space="preserve">se présente </w:t>
      </w:r>
      <w:r w:rsidRPr="00DD09EA">
        <w:rPr>
          <w:rFonts w:eastAsiaTheme="minorHAnsi"/>
          <w:lang w:eastAsia="en-US"/>
        </w:rPr>
        <w:t xml:space="preserve"> comme suit :</w:t>
      </w:r>
    </w:p>
    <w:p w:rsidR="0053132A" w:rsidRPr="003F7C8D" w:rsidRDefault="0053132A" w:rsidP="00D10A01">
      <w:pPr>
        <w:pStyle w:val="Paragraphedeliste"/>
        <w:numPr>
          <w:ilvl w:val="0"/>
          <w:numId w:val="4"/>
        </w:numPr>
        <w:spacing w:after="200" w:line="276" w:lineRule="auto"/>
        <w:jc w:val="both"/>
      </w:pPr>
      <w:r w:rsidRPr="003F7C8D">
        <w:t>Cinquante (50) marchés publics passés par les Etablissements Publics, les Sociétés d’Etat et les Sociétés d’Economie Mixte ;</w:t>
      </w:r>
    </w:p>
    <w:p w:rsidR="0053132A" w:rsidRPr="003F7C8D" w:rsidRDefault="0053132A" w:rsidP="00D10A01">
      <w:pPr>
        <w:pStyle w:val="Paragraphedeliste"/>
        <w:numPr>
          <w:ilvl w:val="0"/>
          <w:numId w:val="4"/>
        </w:numPr>
        <w:spacing w:after="200" w:line="276" w:lineRule="auto"/>
        <w:jc w:val="both"/>
      </w:pPr>
      <w:r w:rsidRPr="003F7C8D">
        <w:t>Cinquante (50)  marchés publics passés par la Région de Niamey ;</w:t>
      </w:r>
    </w:p>
    <w:p w:rsidR="0053132A" w:rsidRPr="003F7C8D" w:rsidRDefault="0053132A" w:rsidP="00D10A01">
      <w:pPr>
        <w:pStyle w:val="Paragraphedeliste"/>
        <w:numPr>
          <w:ilvl w:val="0"/>
          <w:numId w:val="4"/>
        </w:numPr>
        <w:spacing w:after="200" w:line="276" w:lineRule="auto"/>
        <w:jc w:val="both"/>
      </w:pPr>
      <w:r w:rsidRPr="003F7C8D">
        <w:t>Trente (30)  marchés publics passés par la Région de Tillabéri ;</w:t>
      </w:r>
    </w:p>
    <w:p w:rsidR="006026FE" w:rsidRDefault="0053132A" w:rsidP="006F4F75">
      <w:pPr>
        <w:pStyle w:val="Paragraphedeliste"/>
        <w:numPr>
          <w:ilvl w:val="0"/>
          <w:numId w:val="4"/>
        </w:numPr>
        <w:spacing w:after="200" w:line="276" w:lineRule="auto"/>
        <w:jc w:val="both"/>
      </w:pPr>
      <w:r w:rsidRPr="003F7C8D">
        <w:t>Tous les marchés dont les montants sont supérieurs à 100 Millions.</w:t>
      </w:r>
    </w:p>
    <w:p w:rsidR="006F4F75" w:rsidRDefault="006F4F75" w:rsidP="006F4F75">
      <w:pPr>
        <w:pStyle w:val="Paragraphedeliste"/>
        <w:spacing w:after="200" w:line="276" w:lineRule="auto"/>
        <w:jc w:val="both"/>
      </w:pPr>
    </w:p>
    <w:p w:rsidR="0053132A" w:rsidRPr="0053132A" w:rsidRDefault="0053132A" w:rsidP="00D10A01">
      <w:pPr>
        <w:pStyle w:val="Paragraphedeliste"/>
        <w:numPr>
          <w:ilvl w:val="3"/>
          <w:numId w:val="24"/>
        </w:numPr>
        <w:spacing w:line="276" w:lineRule="auto"/>
        <w:jc w:val="both"/>
      </w:pPr>
      <w:r w:rsidRPr="0053132A">
        <w:rPr>
          <w:rFonts w:eastAsiaTheme="minorHAnsi"/>
          <w:b/>
          <w:lang w:eastAsia="en-US"/>
        </w:rPr>
        <w:t>Choix des marchés</w:t>
      </w:r>
      <w:r w:rsidRPr="0053132A">
        <w:rPr>
          <w:b/>
        </w:rPr>
        <w:t xml:space="preserve"> dont les montants sont supérieurs à 100 Millions</w:t>
      </w:r>
    </w:p>
    <w:p w:rsidR="0053132A" w:rsidRPr="005728D5" w:rsidRDefault="0053132A" w:rsidP="006026FE">
      <w:pPr>
        <w:autoSpaceDE w:val="0"/>
        <w:autoSpaceDN w:val="0"/>
        <w:adjustRightInd w:val="0"/>
        <w:spacing w:line="276" w:lineRule="auto"/>
        <w:jc w:val="both"/>
        <w:rPr>
          <w:rFonts w:eastAsiaTheme="minorHAnsi"/>
          <w:lang w:eastAsia="en-US"/>
        </w:rPr>
      </w:pPr>
      <w:r>
        <w:rPr>
          <w:rFonts w:eastAsiaTheme="minorHAnsi"/>
          <w:lang w:eastAsia="en-US"/>
        </w:rPr>
        <w:t>Conformément aux termes de référence, l’échantillon doit comprendre « t</w:t>
      </w:r>
      <w:r w:rsidRPr="00DD09EA">
        <w:t xml:space="preserve">ous les marchés publics dont les </w:t>
      </w:r>
      <w:r>
        <w:t>montants sont supérieurs à 1</w:t>
      </w:r>
      <w:r w:rsidRPr="00DD09EA">
        <w:t>00 Millions</w:t>
      </w:r>
      <w:r>
        <w:t>.»</w:t>
      </w:r>
    </w:p>
    <w:p w:rsidR="0053132A" w:rsidRDefault="0053132A" w:rsidP="006026FE">
      <w:pPr>
        <w:autoSpaceDE w:val="0"/>
        <w:autoSpaceDN w:val="0"/>
        <w:adjustRightInd w:val="0"/>
        <w:spacing w:line="276" w:lineRule="auto"/>
        <w:jc w:val="both"/>
        <w:rPr>
          <w:rFonts w:eastAsiaTheme="minorHAnsi"/>
          <w:lang w:eastAsia="en-US"/>
        </w:rPr>
      </w:pPr>
      <w:r>
        <w:rPr>
          <w:rFonts w:eastAsiaTheme="minorHAnsi"/>
          <w:lang w:eastAsia="en-US"/>
        </w:rPr>
        <w:t xml:space="preserve">La liste des marchés 2015, mise à notre disposition comprend 70  marchés </w:t>
      </w:r>
      <w:r w:rsidRPr="00DD09EA">
        <w:t xml:space="preserve">dont </w:t>
      </w:r>
      <w:r>
        <w:t>les montants sont supérieurs à 1</w:t>
      </w:r>
      <w:r w:rsidRPr="00DD09EA">
        <w:t>00 Millions</w:t>
      </w:r>
      <w:r>
        <w:t>.</w:t>
      </w:r>
    </w:p>
    <w:p w:rsidR="0053132A" w:rsidRDefault="0053132A" w:rsidP="006026FE">
      <w:pPr>
        <w:autoSpaceDE w:val="0"/>
        <w:autoSpaceDN w:val="0"/>
        <w:adjustRightInd w:val="0"/>
        <w:spacing w:line="276" w:lineRule="auto"/>
        <w:jc w:val="both"/>
        <w:rPr>
          <w:rFonts w:eastAsiaTheme="minorHAnsi"/>
          <w:lang w:eastAsia="en-US"/>
        </w:rPr>
      </w:pPr>
      <w:r>
        <w:rPr>
          <w:rFonts w:eastAsiaTheme="minorHAnsi"/>
          <w:lang w:eastAsia="en-US"/>
        </w:rPr>
        <w:t>La situation globale  de ces 70 marchés intégrés à 100% à notre échan</w:t>
      </w:r>
      <w:r w:rsidR="00353CCF">
        <w:rPr>
          <w:rFonts w:eastAsiaTheme="minorHAnsi"/>
          <w:lang w:eastAsia="en-US"/>
        </w:rPr>
        <w:t>tillon se présente comme suit :</w:t>
      </w:r>
    </w:p>
    <w:tbl>
      <w:tblPr>
        <w:tblW w:w="9937" w:type="dxa"/>
        <w:tblInd w:w="-5" w:type="dxa"/>
        <w:tblCellMar>
          <w:left w:w="70" w:type="dxa"/>
          <w:right w:w="70" w:type="dxa"/>
        </w:tblCellMar>
        <w:tblLook w:val="04A0" w:firstRow="1" w:lastRow="0" w:firstColumn="1" w:lastColumn="0" w:noHBand="0" w:noVBand="1"/>
      </w:tblPr>
      <w:tblGrid>
        <w:gridCol w:w="2977"/>
        <w:gridCol w:w="910"/>
        <w:gridCol w:w="1641"/>
        <w:gridCol w:w="910"/>
        <w:gridCol w:w="1641"/>
        <w:gridCol w:w="929"/>
        <w:gridCol w:w="929"/>
      </w:tblGrid>
      <w:tr w:rsidR="0053132A" w:rsidRPr="00013C4E" w:rsidTr="0053132A">
        <w:trPr>
          <w:trHeight w:val="30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32A" w:rsidRPr="00013C4E" w:rsidRDefault="0053132A" w:rsidP="006026FE">
            <w:pPr>
              <w:spacing w:line="276" w:lineRule="auto"/>
              <w:jc w:val="both"/>
              <w:rPr>
                <w:b/>
                <w:bCs/>
                <w:color w:val="000000"/>
              </w:rPr>
            </w:pPr>
            <w:r w:rsidRPr="00013C4E">
              <w:rPr>
                <w:b/>
                <w:bCs/>
                <w:color w:val="000000"/>
                <w:sz w:val="22"/>
                <w:szCs w:val="22"/>
              </w:rPr>
              <w:t>MARCHES</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hideMark/>
          </w:tcPr>
          <w:p w:rsidR="0053132A" w:rsidRPr="00013C4E" w:rsidRDefault="0053132A" w:rsidP="006026FE">
            <w:pPr>
              <w:spacing w:line="276" w:lineRule="auto"/>
              <w:jc w:val="both"/>
              <w:rPr>
                <w:b/>
                <w:bCs/>
                <w:color w:val="000000"/>
              </w:rPr>
            </w:pPr>
            <w:r w:rsidRPr="00013C4E">
              <w:rPr>
                <w:b/>
                <w:bCs/>
                <w:color w:val="000000"/>
                <w:sz w:val="22"/>
                <w:szCs w:val="22"/>
              </w:rPr>
              <w:t>Population</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hideMark/>
          </w:tcPr>
          <w:p w:rsidR="0053132A" w:rsidRPr="00013C4E" w:rsidRDefault="0053132A" w:rsidP="006026FE">
            <w:pPr>
              <w:spacing w:line="276" w:lineRule="auto"/>
              <w:jc w:val="both"/>
              <w:rPr>
                <w:b/>
                <w:bCs/>
                <w:color w:val="000000"/>
              </w:rPr>
            </w:pPr>
            <w:r w:rsidRPr="00013C4E">
              <w:rPr>
                <w:b/>
                <w:bCs/>
                <w:color w:val="000000"/>
                <w:sz w:val="22"/>
                <w:szCs w:val="22"/>
              </w:rPr>
              <w:t>Echantillon</w:t>
            </w:r>
          </w:p>
        </w:tc>
        <w:tc>
          <w:tcPr>
            <w:tcW w:w="185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32A" w:rsidRPr="00013C4E" w:rsidRDefault="0053132A" w:rsidP="006026FE">
            <w:pPr>
              <w:spacing w:line="276" w:lineRule="auto"/>
              <w:jc w:val="both"/>
              <w:rPr>
                <w:b/>
                <w:bCs/>
                <w:color w:val="000000"/>
              </w:rPr>
            </w:pPr>
            <w:r w:rsidRPr="00013C4E">
              <w:rPr>
                <w:b/>
                <w:bCs/>
                <w:color w:val="000000"/>
                <w:sz w:val="22"/>
                <w:szCs w:val="22"/>
              </w:rPr>
              <w:t>Pourcentage</w:t>
            </w:r>
          </w:p>
        </w:tc>
      </w:tr>
      <w:tr w:rsidR="0053132A" w:rsidRPr="00013C4E" w:rsidTr="0053132A">
        <w:trPr>
          <w:trHeight w:val="30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53132A" w:rsidRPr="00013C4E" w:rsidRDefault="0053132A" w:rsidP="006026FE">
            <w:pPr>
              <w:spacing w:line="276" w:lineRule="auto"/>
              <w:jc w:val="both"/>
              <w:rPr>
                <w:b/>
                <w:bCs/>
                <w:color w:val="000000"/>
              </w:rPr>
            </w:pPr>
          </w:p>
        </w:tc>
        <w:tc>
          <w:tcPr>
            <w:tcW w:w="910" w:type="dxa"/>
            <w:tcBorders>
              <w:top w:val="nil"/>
              <w:left w:val="nil"/>
              <w:bottom w:val="single" w:sz="4" w:space="0" w:color="auto"/>
              <w:right w:val="single" w:sz="4" w:space="0" w:color="auto"/>
            </w:tcBorders>
            <w:shd w:val="clear" w:color="auto" w:fill="auto"/>
            <w:noWrap/>
            <w:vAlign w:val="center"/>
            <w:hideMark/>
          </w:tcPr>
          <w:p w:rsidR="0053132A" w:rsidRPr="00013C4E" w:rsidRDefault="0053132A" w:rsidP="006026FE">
            <w:pPr>
              <w:spacing w:line="276" w:lineRule="auto"/>
              <w:jc w:val="both"/>
              <w:rPr>
                <w:b/>
                <w:bCs/>
                <w:color w:val="000000"/>
              </w:rPr>
            </w:pPr>
            <w:r w:rsidRPr="00013C4E">
              <w:rPr>
                <w:b/>
                <w:bCs/>
                <w:color w:val="000000"/>
                <w:sz w:val="22"/>
                <w:szCs w:val="22"/>
              </w:rPr>
              <w:t>Nombre</w:t>
            </w:r>
          </w:p>
        </w:tc>
        <w:tc>
          <w:tcPr>
            <w:tcW w:w="1641" w:type="dxa"/>
            <w:tcBorders>
              <w:top w:val="nil"/>
              <w:left w:val="nil"/>
              <w:bottom w:val="single" w:sz="4" w:space="0" w:color="auto"/>
              <w:right w:val="single" w:sz="4" w:space="0" w:color="auto"/>
            </w:tcBorders>
            <w:shd w:val="clear" w:color="auto" w:fill="auto"/>
            <w:noWrap/>
            <w:vAlign w:val="center"/>
            <w:hideMark/>
          </w:tcPr>
          <w:p w:rsidR="0053132A" w:rsidRPr="00013C4E" w:rsidRDefault="0053132A" w:rsidP="006026FE">
            <w:pPr>
              <w:spacing w:line="276" w:lineRule="auto"/>
              <w:jc w:val="both"/>
              <w:rPr>
                <w:b/>
                <w:bCs/>
                <w:color w:val="000000"/>
              </w:rPr>
            </w:pPr>
            <w:r w:rsidRPr="00013C4E">
              <w:rPr>
                <w:b/>
                <w:bCs/>
                <w:color w:val="000000"/>
                <w:sz w:val="22"/>
                <w:szCs w:val="22"/>
              </w:rPr>
              <w:t>Valeur</w:t>
            </w:r>
          </w:p>
        </w:tc>
        <w:tc>
          <w:tcPr>
            <w:tcW w:w="910" w:type="dxa"/>
            <w:tcBorders>
              <w:top w:val="nil"/>
              <w:left w:val="nil"/>
              <w:bottom w:val="single" w:sz="4" w:space="0" w:color="auto"/>
              <w:right w:val="single" w:sz="4" w:space="0" w:color="auto"/>
            </w:tcBorders>
            <w:shd w:val="clear" w:color="auto" w:fill="auto"/>
            <w:noWrap/>
            <w:vAlign w:val="center"/>
            <w:hideMark/>
          </w:tcPr>
          <w:p w:rsidR="0053132A" w:rsidRPr="00013C4E" w:rsidRDefault="0053132A" w:rsidP="006026FE">
            <w:pPr>
              <w:spacing w:line="276" w:lineRule="auto"/>
              <w:jc w:val="both"/>
              <w:rPr>
                <w:b/>
                <w:bCs/>
                <w:color w:val="000000"/>
              </w:rPr>
            </w:pPr>
            <w:r w:rsidRPr="00013C4E">
              <w:rPr>
                <w:b/>
                <w:bCs/>
                <w:color w:val="000000"/>
                <w:sz w:val="22"/>
                <w:szCs w:val="22"/>
              </w:rPr>
              <w:t>Nombre</w:t>
            </w:r>
          </w:p>
        </w:tc>
        <w:tc>
          <w:tcPr>
            <w:tcW w:w="1641" w:type="dxa"/>
            <w:tcBorders>
              <w:top w:val="nil"/>
              <w:left w:val="nil"/>
              <w:bottom w:val="single" w:sz="4" w:space="0" w:color="auto"/>
              <w:right w:val="single" w:sz="4" w:space="0" w:color="auto"/>
            </w:tcBorders>
            <w:shd w:val="clear" w:color="auto" w:fill="auto"/>
            <w:noWrap/>
            <w:vAlign w:val="center"/>
            <w:hideMark/>
          </w:tcPr>
          <w:p w:rsidR="0053132A" w:rsidRPr="00013C4E" w:rsidRDefault="0053132A" w:rsidP="006026FE">
            <w:pPr>
              <w:spacing w:line="276" w:lineRule="auto"/>
              <w:jc w:val="both"/>
              <w:rPr>
                <w:b/>
                <w:bCs/>
                <w:color w:val="000000"/>
              </w:rPr>
            </w:pPr>
            <w:r w:rsidRPr="00013C4E">
              <w:rPr>
                <w:b/>
                <w:bCs/>
                <w:color w:val="000000"/>
                <w:sz w:val="22"/>
                <w:szCs w:val="22"/>
              </w:rPr>
              <w:t>Valeur</w:t>
            </w:r>
          </w:p>
        </w:tc>
        <w:tc>
          <w:tcPr>
            <w:tcW w:w="1858" w:type="dxa"/>
            <w:gridSpan w:val="2"/>
            <w:vMerge/>
            <w:tcBorders>
              <w:top w:val="nil"/>
              <w:left w:val="nil"/>
              <w:bottom w:val="single" w:sz="4" w:space="0" w:color="auto"/>
              <w:right w:val="single" w:sz="4" w:space="0" w:color="auto"/>
            </w:tcBorders>
            <w:vAlign w:val="center"/>
            <w:hideMark/>
          </w:tcPr>
          <w:p w:rsidR="0053132A" w:rsidRPr="00013C4E" w:rsidRDefault="0053132A" w:rsidP="006026FE">
            <w:pPr>
              <w:spacing w:line="276" w:lineRule="auto"/>
              <w:jc w:val="both"/>
              <w:rPr>
                <w:b/>
                <w:bCs/>
                <w:color w:val="000000"/>
              </w:rPr>
            </w:pPr>
          </w:p>
        </w:tc>
      </w:tr>
      <w:tr w:rsidR="0053132A" w:rsidRPr="00013C4E" w:rsidTr="0053132A">
        <w:trPr>
          <w:trHeight w:val="94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3132A" w:rsidRPr="00013C4E" w:rsidRDefault="0053132A" w:rsidP="006026FE">
            <w:pPr>
              <w:spacing w:line="276" w:lineRule="auto"/>
              <w:jc w:val="both"/>
              <w:rPr>
                <w:color w:val="000000"/>
              </w:rPr>
            </w:pPr>
            <w:r w:rsidRPr="00013C4E">
              <w:rPr>
                <w:rFonts w:eastAsia="Symbol" w:cs="Symbol"/>
                <w:color w:val="000000"/>
              </w:rPr>
              <w:t>Tous les marchés publics dont les montants sont supérieurs à 100 Millions.</w:t>
            </w:r>
          </w:p>
        </w:tc>
        <w:tc>
          <w:tcPr>
            <w:tcW w:w="910" w:type="dxa"/>
            <w:tcBorders>
              <w:top w:val="nil"/>
              <w:left w:val="nil"/>
              <w:bottom w:val="single" w:sz="4" w:space="0" w:color="auto"/>
              <w:right w:val="single" w:sz="4" w:space="0" w:color="auto"/>
            </w:tcBorders>
            <w:shd w:val="clear" w:color="auto" w:fill="auto"/>
            <w:noWrap/>
            <w:vAlign w:val="center"/>
            <w:hideMark/>
          </w:tcPr>
          <w:p w:rsidR="0053132A" w:rsidRPr="00013C4E" w:rsidRDefault="0053132A" w:rsidP="006026FE">
            <w:pPr>
              <w:spacing w:line="276" w:lineRule="auto"/>
              <w:jc w:val="both"/>
              <w:rPr>
                <w:color w:val="000000"/>
              </w:rPr>
            </w:pPr>
            <w:r w:rsidRPr="00013C4E">
              <w:rPr>
                <w:color w:val="000000"/>
                <w:sz w:val="22"/>
                <w:szCs w:val="22"/>
              </w:rPr>
              <w:t>70</w:t>
            </w:r>
          </w:p>
        </w:tc>
        <w:tc>
          <w:tcPr>
            <w:tcW w:w="1641" w:type="dxa"/>
            <w:tcBorders>
              <w:top w:val="nil"/>
              <w:left w:val="nil"/>
              <w:bottom w:val="single" w:sz="4" w:space="0" w:color="auto"/>
              <w:right w:val="single" w:sz="4" w:space="0" w:color="auto"/>
            </w:tcBorders>
            <w:shd w:val="clear" w:color="auto" w:fill="auto"/>
            <w:noWrap/>
            <w:vAlign w:val="center"/>
            <w:hideMark/>
          </w:tcPr>
          <w:p w:rsidR="0053132A" w:rsidRPr="00013C4E" w:rsidRDefault="0053132A" w:rsidP="006026FE">
            <w:pPr>
              <w:spacing w:line="276" w:lineRule="auto"/>
              <w:jc w:val="both"/>
              <w:rPr>
                <w:color w:val="000000"/>
              </w:rPr>
            </w:pPr>
            <w:r w:rsidRPr="00013C4E">
              <w:rPr>
                <w:color w:val="000000"/>
                <w:sz w:val="22"/>
                <w:szCs w:val="22"/>
              </w:rPr>
              <w:t>53 467 407 222</w:t>
            </w:r>
          </w:p>
        </w:tc>
        <w:tc>
          <w:tcPr>
            <w:tcW w:w="910" w:type="dxa"/>
            <w:tcBorders>
              <w:top w:val="nil"/>
              <w:left w:val="nil"/>
              <w:bottom w:val="single" w:sz="4" w:space="0" w:color="auto"/>
              <w:right w:val="single" w:sz="4" w:space="0" w:color="auto"/>
            </w:tcBorders>
            <w:shd w:val="clear" w:color="auto" w:fill="auto"/>
            <w:noWrap/>
            <w:vAlign w:val="center"/>
            <w:hideMark/>
          </w:tcPr>
          <w:p w:rsidR="0053132A" w:rsidRPr="00013C4E" w:rsidRDefault="0053132A" w:rsidP="006026FE">
            <w:pPr>
              <w:spacing w:line="276" w:lineRule="auto"/>
              <w:jc w:val="both"/>
              <w:rPr>
                <w:color w:val="000000"/>
              </w:rPr>
            </w:pPr>
            <w:r w:rsidRPr="00013C4E">
              <w:rPr>
                <w:color w:val="000000"/>
                <w:sz w:val="22"/>
                <w:szCs w:val="22"/>
              </w:rPr>
              <w:t>70</w:t>
            </w:r>
          </w:p>
        </w:tc>
        <w:tc>
          <w:tcPr>
            <w:tcW w:w="1641" w:type="dxa"/>
            <w:tcBorders>
              <w:top w:val="nil"/>
              <w:left w:val="nil"/>
              <w:bottom w:val="single" w:sz="4" w:space="0" w:color="auto"/>
              <w:right w:val="single" w:sz="4" w:space="0" w:color="auto"/>
            </w:tcBorders>
            <w:shd w:val="clear" w:color="auto" w:fill="auto"/>
            <w:noWrap/>
            <w:vAlign w:val="center"/>
            <w:hideMark/>
          </w:tcPr>
          <w:p w:rsidR="0053132A" w:rsidRPr="00013C4E" w:rsidRDefault="0053132A" w:rsidP="006026FE">
            <w:pPr>
              <w:spacing w:line="276" w:lineRule="auto"/>
              <w:jc w:val="both"/>
              <w:rPr>
                <w:color w:val="000000"/>
              </w:rPr>
            </w:pPr>
            <w:r w:rsidRPr="00013C4E">
              <w:rPr>
                <w:color w:val="000000"/>
                <w:sz w:val="22"/>
                <w:szCs w:val="22"/>
              </w:rPr>
              <w:t>53 467 407 222</w:t>
            </w:r>
          </w:p>
        </w:tc>
        <w:tc>
          <w:tcPr>
            <w:tcW w:w="929" w:type="dxa"/>
            <w:tcBorders>
              <w:top w:val="nil"/>
              <w:left w:val="nil"/>
              <w:bottom w:val="single" w:sz="4" w:space="0" w:color="auto"/>
              <w:right w:val="single" w:sz="4" w:space="0" w:color="auto"/>
            </w:tcBorders>
            <w:shd w:val="clear" w:color="auto" w:fill="auto"/>
            <w:noWrap/>
            <w:vAlign w:val="center"/>
            <w:hideMark/>
          </w:tcPr>
          <w:p w:rsidR="0053132A" w:rsidRPr="00013C4E" w:rsidRDefault="0053132A" w:rsidP="006026FE">
            <w:pPr>
              <w:spacing w:line="276" w:lineRule="auto"/>
              <w:jc w:val="both"/>
              <w:rPr>
                <w:color w:val="000000"/>
              </w:rPr>
            </w:pPr>
            <w:r w:rsidRPr="00013C4E">
              <w:rPr>
                <w:color w:val="000000"/>
                <w:sz w:val="22"/>
                <w:szCs w:val="22"/>
              </w:rPr>
              <w:t>100,00%</w:t>
            </w:r>
          </w:p>
        </w:tc>
        <w:tc>
          <w:tcPr>
            <w:tcW w:w="929" w:type="dxa"/>
            <w:tcBorders>
              <w:top w:val="nil"/>
              <w:left w:val="nil"/>
              <w:bottom w:val="single" w:sz="4" w:space="0" w:color="auto"/>
              <w:right w:val="single" w:sz="4" w:space="0" w:color="auto"/>
            </w:tcBorders>
            <w:shd w:val="clear" w:color="auto" w:fill="auto"/>
            <w:noWrap/>
            <w:vAlign w:val="center"/>
            <w:hideMark/>
          </w:tcPr>
          <w:p w:rsidR="0053132A" w:rsidRPr="00013C4E" w:rsidRDefault="0053132A" w:rsidP="006026FE">
            <w:pPr>
              <w:spacing w:line="276" w:lineRule="auto"/>
              <w:jc w:val="both"/>
              <w:rPr>
                <w:color w:val="000000"/>
              </w:rPr>
            </w:pPr>
            <w:r w:rsidRPr="00013C4E">
              <w:rPr>
                <w:color w:val="000000"/>
                <w:sz w:val="22"/>
                <w:szCs w:val="22"/>
              </w:rPr>
              <w:t>100,00%</w:t>
            </w:r>
          </w:p>
        </w:tc>
      </w:tr>
    </w:tbl>
    <w:p w:rsidR="0053132A" w:rsidRDefault="0053132A" w:rsidP="006026FE">
      <w:pPr>
        <w:autoSpaceDE w:val="0"/>
        <w:autoSpaceDN w:val="0"/>
        <w:adjustRightInd w:val="0"/>
        <w:spacing w:line="276" w:lineRule="auto"/>
        <w:jc w:val="both"/>
        <w:rPr>
          <w:rFonts w:eastAsiaTheme="minorHAnsi"/>
          <w:lang w:eastAsia="en-US"/>
        </w:rPr>
      </w:pPr>
    </w:p>
    <w:p w:rsidR="00353CCF" w:rsidRDefault="00353CCF" w:rsidP="006026FE">
      <w:pPr>
        <w:autoSpaceDE w:val="0"/>
        <w:autoSpaceDN w:val="0"/>
        <w:adjustRightInd w:val="0"/>
        <w:spacing w:line="276" w:lineRule="auto"/>
        <w:jc w:val="both"/>
        <w:rPr>
          <w:rFonts w:eastAsiaTheme="minorHAnsi"/>
          <w:b/>
          <w:lang w:eastAsia="en-US"/>
        </w:rPr>
      </w:pPr>
    </w:p>
    <w:p w:rsidR="0053132A" w:rsidRPr="003F7C8D" w:rsidRDefault="0053132A" w:rsidP="006026FE">
      <w:pPr>
        <w:autoSpaceDE w:val="0"/>
        <w:autoSpaceDN w:val="0"/>
        <w:adjustRightInd w:val="0"/>
        <w:spacing w:line="276" w:lineRule="auto"/>
        <w:jc w:val="both"/>
        <w:rPr>
          <w:rFonts w:eastAsiaTheme="minorHAnsi"/>
          <w:b/>
          <w:lang w:eastAsia="en-US"/>
        </w:rPr>
      </w:pPr>
      <w:r>
        <w:rPr>
          <w:rFonts w:eastAsiaTheme="minorHAnsi"/>
          <w:b/>
          <w:lang w:eastAsia="en-US"/>
        </w:rPr>
        <w:t xml:space="preserve">4.2.1.2 </w:t>
      </w:r>
      <w:r w:rsidR="006026FE">
        <w:rPr>
          <w:rFonts w:eastAsiaTheme="minorHAnsi"/>
          <w:b/>
          <w:lang w:eastAsia="en-US"/>
        </w:rPr>
        <w:t xml:space="preserve"> C</w:t>
      </w:r>
      <w:r w:rsidRPr="003F7C8D">
        <w:rPr>
          <w:rFonts w:eastAsiaTheme="minorHAnsi"/>
          <w:b/>
          <w:lang w:eastAsia="en-US"/>
        </w:rPr>
        <w:t>hoix des Cinquante (50</w:t>
      </w:r>
      <w:r>
        <w:rPr>
          <w:rFonts w:eastAsiaTheme="minorHAnsi"/>
          <w:b/>
          <w:lang w:eastAsia="en-US"/>
        </w:rPr>
        <w:t>)</w:t>
      </w:r>
      <w:r w:rsidRPr="003F7C8D">
        <w:rPr>
          <w:b/>
        </w:rPr>
        <w:t xml:space="preserve">  marchés publics passés par la Région de Niamey </w:t>
      </w:r>
    </w:p>
    <w:p w:rsidR="0053132A" w:rsidRPr="00156E32" w:rsidRDefault="0053132A" w:rsidP="006026FE">
      <w:pPr>
        <w:autoSpaceDE w:val="0"/>
        <w:autoSpaceDN w:val="0"/>
        <w:adjustRightInd w:val="0"/>
        <w:spacing w:line="276" w:lineRule="auto"/>
        <w:jc w:val="both"/>
        <w:rPr>
          <w:rFonts w:eastAsiaTheme="minorHAnsi"/>
          <w:lang w:eastAsia="en-US"/>
        </w:rPr>
      </w:pPr>
      <w:r>
        <w:rPr>
          <w:rFonts w:eastAsiaTheme="minorHAnsi"/>
          <w:lang w:eastAsia="en-US"/>
        </w:rPr>
        <w:lastRenderedPageBreak/>
        <w:t xml:space="preserve">Conformément aux termes de référence, l’échantillon doit comprendre </w:t>
      </w:r>
      <w:r>
        <w:t>c</w:t>
      </w:r>
      <w:r w:rsidRPr="003F7C8D">
        <w:t>inquante</w:t>
      </w:r>
      <w:r>
        <w:rPr>
          <w:rFonts w:eastAsiaTheme="minorHAnsi"/>
          <w:lang w:eastAsia="en-US"/>
        </w:rPr>
        <w:t xml:space="preserve"> (50) marchés publics passés par la région de Niamey. Cependant la liste de marchés fournie par l’ARMP ne comporte pas de marché passé par la région de Niamey. En conséquence, notre échantillon ne comporte pas de marché passé par la région de Niamey.</w:t>
      </w:r>
    </w:p>
    <w:p w:rsidR="002D5A4A" w:rsidRDefault="002D5A4A" w:rsidP="006026FE">
      <w:pPr>
        <w:autoSpaceDE w:val="0"/>
        <w:autoSpaceDN w:val="0"/>
        <w:adjustRightInd w:val="0"/>
        <w:spacing w:line="276" w:lineRule="auto"/>
        <w:jc w:val="both"/>
        <w:rPr>
          <w:rFonts w:eastAsiaTheme="minorHAnsi"/>
          <w:b/>
          <w:lang w:eastAsia="en-US"/>
        </w:rPr>
      </w:pPr>
    </w:p>
    <w:p w:rsidR="0053132A" w:rsidRPr="003F7C8D" w:rsidRDefault="0053132A" w:rsidP="006026FE">
      <w:pPr>
        <w:autoSpaceDE w:val="0"/>
        <w:autoSpaceDN w:val="0"/>
        <w:adjustRightInd w:val="0"/>
        <w:spacing w:line="276" w:lineRule="auto"/>
        <w:jc w:val="both"/>
        <w:rPr>
          <w:rFonts w:eastAsiaTheme="minorHAnsi"/>
          <w:b/>
          <w:lang w:eastAsia="en-US"/>
        </w:rPr>
      </w:pPr>
      <w:r>
        <w:rPr>
          <w:rFonts w:eastAsiaTheme="minorHAnsi"/>
          <w:b/>
          <w:lang w:eastAsia="en-US"/>
        </w:rPr>
        <w:t xml:space="preserve">4.2.1.3 </w:t>
      </w:r>
      <w:r w:rsidRPr="003F7C8D">
        <w:rPr>
          <w:rFonts w:eastAsiaTheme="minorHAnsi"/>
          <w:b/>
          <w:lang w:eastAsia="en-US"/>
        </w:rPr>
        <w:t xml:space="preserve"> choix des </w:t>
      </w:r>
      <w:r w:rsidRPr="003F7C8D">
        <w:rPr>
          <w:b/>
        </w:rPr>
        <w:t>trente (30)  marchés publics passés par la Région de Tillabéri </w:t>
      </w:r>
    </w:p>
    <w:p w:rsidR="0053132A" w:rsidRPr="00401A9C" w:rsidRDefault="0053132A" w:rsidP="006026FE">
      <w:pPr>
        <w:autoSpaceDE w:val="0"/>
        <w:autoSpaceDN w:val="0"/>
        <w:adjustRightInd w:val="0"/>
        <w:spacing w:line="276" w:lineRule="auto"/>
        <w:jc w:val="both"/>
        <w:rPr>
          <w:rFonts w:eastAsiaTheme="minorHAnsi"/>
          <w:lang w:eastAsia="en-US"/>
        </w:rPr>
      </w:pPr>
      <w:r>
        <w:rPr>
          <w:rFonts w:eastAsiaTheme="minorHAnsi"/>
          <w:lang w:eastAsia="en-US"/>
        </w:rPr>
        <w:t xml:space="preserve">Conformément aux termes de référence, l’échantillon doit comprendre </w:t>
      </w:r>
      <w:r w:rsidRPr="003F7C8D">
        <w:t>Trente (30)  marchés publics passés par la Région de Tillabéri</w:t>
      </w:r>
      <w:r>
        <w:t xml:space="preserve">. La liste des marchés fournie par l’ARMP comporte onze (11) marchés publics passés par la région de Tillabéri. Au regard du nombre de marchés inférieur à au nombre exigé par les termes de référence à savoir 30 marchés, </w:t>
      </w:r>
      <w:r>
        <w:rPr>
          <w:rFonts w:eastAsiaTheme="minorHAnsi"/>
          <w:lang w:eastAsia="en-US"/>
        </w:rPr>
        <w:t xml:space="preserve">nous avons opté d’inclure tous les marchés </w:t>
      </w:r>
      <w:r>
        <w:t>publics passés par la région de Tillabéri</w:t>
      </w:r>
      <w:r>
        <w:rPr>
          <w:rFonts w:eastAsiaTheme="minorHAnsi"/>
          <w:lang w:eastAsia="en-US"/>
        </w:rPr>
        <w:t xml:space="preserve"> dans notre échantillons.</w:t>
      </w:r>
      <w:r w:rsidRPr="003F7C8D">
        <w:t> </w:t>
      </w:r>
      <w:r w:rsidRPr="00401A9C">
        <w:rPr>
          <w:rFonts w:eastAsiaTheme="minorHAnsi"/>
          <w:lang w:eastAsia="en-US"/>
        </w:rPr>
        <w:t>La répartition des marchés par la Région de Tillaberi par mode de passation se résume comme suit :</w:t>
      </w:r>
    </w:p>
    <w:p w:rsidR="0053132A" w:rsidRDefault="0053132A" w:rsidP="006026FE">
      <w:pPr>
        <w:pStyle w:val="Paragraphedeliste"/>
        <w:autoSpaceDE w:val="0"/>
        <w:autoSpaceDN w:val="0"/>
        <w:adjustRightInd w:val="0"/>
        <w:spacing w:line="276" w:lineRule="auto"/>
        <w:ind w:left="360"/>
        <w:jc w:val="both"/>
        <w:rPr>
          <w:rFonts w:eastAsiaTheme="minorHAnsi"/>
          <w:lang w:eastAsia="en-US"/>
        </w:rPr>
      </w:pPr>
    </w:p>
    <w:tbl>
      <w:tblPr>
        <w:tblW w:w="8505" w:type="dxa"/>
        <w:tblCellMar>
          <w:left w:w="70" w:type="dxa"/>
          <w:right w:w="70" w:type="dxa"/>
        </w:tblCellMar>
        <w:tblLook w:val="04A0" w:firstRow="1" w:lastRow="0" w:firstColumn="1" w:lastColumn="0" w:noHBand="0" w:noVBand="1"/>
      </w:tblPr>
      <w:tblGrid>
        <w:gridCol w:w="1701"/>
        <w:gridCol w:w="1134"/>
        <w:gridCol w:w="1418"/>
        <w:gridCol w:w="992"/>
        <w:gridCol w:w="1418"/>
        <w:gridCol w:w="965"/>
        <w:gridCol w:w="965"/>
      </w:tblGrid>
      <w:tr w:rsidR="0053132A" w:rsidRPr="00642640" w:rsidTr="0053132A">
        <w:trPr>
          <w:trHeight w:val="315"/>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b/>
                <w:bCs/>
                <w:color w:val="000000"/>
              </w:rPr>
            </w:pPr>
            <w:r w:rsidRPr="00642640">
              <w:rPr>
                <w:b/>
                <w:bCs/>
                <w:color w:val="000000"/>
              </w:rPr>
              <w:t>Mode de passation</w:t>
            </w:r>
          </w:p>
        </w:tc>
        <w:tc>
          <w:tcPr>
            <w:tcW w:w="2552" w:type="dxa"/>
            <w:gridSpan w:val="2"/>
            <w:tcBorders>
              <w:top w:val="single" w:sz="4" w:space="0" w:color="auto"/>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b/>
                <w:bCs/>
                <w:color w:val="000000"/>
              </w:rPr>
            </w:pPr>
            <w:r w:rsidRPr="00642640">
              <w:rPr>
                <w:b/>
                <w:bCs/>
                <w:color w:val="000000"/>
              </w:rPr>
              <w:t>Population</w:t>
            </w:r>
          </w:p>
        </w:tc>
        <w:tc>
          <w:tcPr>
            <w:tcW w:w="2410" w:type="dxa"/>
            <w:gridSpan w:val="2"/>
            <w:tcBorders>
              <w:top w:val="single" w:sz="4" w:space="0" w:color="auto"/>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b/>
                <w:bCs/>
                <w:color w:val="000000"/>
              </w:rPr>
            </w:pPr>
            <w:r w:rsidRPr="00642640">
              <w:rPr>
                <w:b/>
                <w:bCs/>
                <w:color w:val="000000"/>
              </w:rPr>
              <w:t>Echantillon</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32A" w:rsidRPr="00642640" w:rsidRDefault="0053132A" w:rsidP="006026FE">
            <w:pPr>
              <w:spacing w:line="276" w:lineRule="auto"/>
              <w:jc w:val="both"/>
              <w:rPr>
                <w:b/>
                <w:bCs/>
                <w:color w:val="000000"/>
              </w:rPr>
            </w:pPr>
            <w:r w:rsidRPr="00642640">
              <w:rPr>
                <w:b/>
                <w:bCs/>
                <w:color w:val="000000"/>
              </w:rPr>
              <w:t>Pourcentage</w:t>
            </w:r>
          </w:p>
        </w:tc>
      </w:tr>
      <w:tr w:rsidR="0053132A" w:rsidRPr="00642640" w:rsidTr="0053132A">
        <w:trPr>
          <w:trHeight w:val="315"/>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53132A" w:rsidRPr="00642640" w:rsidRDefault="0053132A" w:rsidP="006026FE">
            <w:pPr>
              <w:spacing w:line="276" w:lineRule="auto"/>
              <w:jc w:val="both"/>
              <w:rPr>
                <w:b/>
                <w:bCs/>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b/>
                <w:bCs/>
                <w:color w:val="000000"/>
              </w:rPr>
            </w:pPr>
            <w:r w:rsidRPr="00642640">
              <w:rPr>
                <w:b/>
                <w:bCs/>
                <w:color w:val="000000"/>
              </w:rPr>
              <w:t>Nombre</w:t>
            </w:r>
          </w:p>
        </w:tc>
        <w:tc>
          <w:tcPr>
            <w:tcW w:w="1418" w:type="dxa"/>
            <w:tcBorders>
              <w:top w:val="nil"/>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b/>
                <w:bCs/>
                <w:color w:val="000000"/>
              </w:rPr>
            </w:pPr>
            <w:r w:rsidRPr="00642640">
              <w:rPr>
                <w:b/>
                <w:bCs/>
                <w:color w:val="000000"/>
              </w:rPr>
              <w:t>Valeur</w:t>
            </w:r>
          </w:p>
        </w:tc>
        <w:tc>
          <w:tcPr>
            <w:tcW w:w="992" w:type="dxa"/>
            <w:tcBorders>
              <w:top w:val="nil"/>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b/>
                <w:bCs/>
                <w:color w:val="000000"/>
              </w:rPr>
            </w:pPr>
            <w:r w:rsidRPr="00642640">
              <w:rPr>
                <w:b/>
                <w:bCs/>
                <w:color w:val="000000"/>
              </w:rPr>
              <w:t>Nombre</w:t>
            </w:r>
          </w:p>
        </w:tc>
        <w:tc>
          <w:tcPr>
            <w:tcW w:w="1418" w:type="dxa"/>
            <w:tcBorders>
              <w:top w:val="nil"/>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b/>
                <w:bCs/>
                <w:color w:val="000000"/>
              </w:rPr>
            </w:pPr>
            <w:r w:rsidRPr="00642640">
              <w:rPr>
                <w:b/>
                <w:bCs/>
                <w:color w:val="000000"/>
              </w:rPr>
              <w:t>Valeur</w:t>
            </w:r>
          </w:p>
        </w:tc>
        <w:tc>
          <w:tcPr>
            <w:tcW w:w="1842" w:type="dxa"/>
            <w:gridSpan w:val="2"/>
            <w:vMerge/>
            <w:tcBorders>
              <w:top w:val="nil"/>
              <w:left w:val="nil"/>
              <w:bottom w:val="single" w:sz="4" w:space="0" w:color="auto"/>
              <w:right w:val="single" w:sz="4" w:space="0" w:color="auto"/>
            </w:tcBorders>
            <w:vAlign w:val="center"/>
            <w:hideMark/>
          </w:tcPr>
          <w:p w:rsidR="0053132A" w:rsidRPr="00642640" w:rsidRDefault="0053132A" w:rsidP="006026FE">
            <w:pPr>
              <w:spacing w:line="276" w:lineRule="auto"/>
              <w:jc w:val="both"/>
              <w:rPr>
                <w:b/>
                <w:bCs/>
                <w:color w:val="000000"/>
              </w:rPr>
            </w:pPr>
          </w:p>
        </w:tc>
      </w:tr>
      <w:tr w:rsidR="0053132A" w:rsidRPr="00642640" w:rsidTr="0053132A">
        <w:trPr>
          <w:trHeight w:val="315"/>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color w:val="000000"/>
              </w:rPr>
            </w:pPr>
            <w:r w:rsidRPr="00642640">
              <w:rPr>
                <w:color w:val="000000"/>
              </w:rPr>
              <w:t>AON</w:t>
            </w:r>
          </w:p>
        </w:tc>
        <w:tc>
          <w:tcPr>
            <w:tcW w:w="1134" w:type="dxa"/>
            <w:tcBorders>
              <w:top w:val="nil"/>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color w:val="000000"/>
              </w:rPr>
            </w:pPr>
            <w:r w:rsidRPr="00642640">
              <w:rPr>
                <w:color w:val="000000"/>
              </w:rPr>
              <w:t>10</w:t>
            </w:r>
          </w:p>
        </w:tc>
        <w:tc>
          <w:tcPr>
            <w:tcW w:w="1418" w:type="dxa"/>
            <w:tcBorders>
              <w:top w:val="nil"/>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color w:val="000000"/>
              </w:rPr>
            </w:pPr>
            <w:r w:rsidRPr="00642640">
              <w:rPr>
                <w:color w:val="000000"/>
              </w:rPr>
              <w:t>661 086 531</w:t>
            </w:r>
          </w:p>
        </w:tc>
        <w:tc>
          <w:tcPr>
            <w:tcW w:w="992" w:type="dxa"/>
            <w:tcBorders>
              <w:top w:val="nil"/>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color w:val="000000"/>
              </w:rPr>
            </w:pPr>
            <w:r w:rsidRPr="00642640">
              <w:rPr>
                <w:color w:val="000000"/>
              </w:rPr>
              <w:t>10</w:t>
            </w:r>
          </w:p>
        </w:tc>
        <w:tc>
          <w:tcPr>
            <w:tcW w:w="1418" w:type="dxa"/>
            <w:tcBorders>
              <w:top w:val="nil"/>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color w:val="000000"/>
              </w:rPr>
            </w:pPr>
            <w:r w:rsidRPr="00642640">
              <w:rPr>
                <w:color w:val="000000"/>
              </w:rPr>
              <w:t>661 086 531</w:t>
            </w:r>
          </w:p>
        </w:tc>
        <w:tc>
          <w:tcPr>
            <w:tcW w:w="965" w:type="dxa"/>
            <w:tcBorders>
              <w:top w:val="nil"/>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color w:val="000000"/>
              </w:rPr>
            </w:pPr>
            <w:r w:rsidRPr="00642640">
              <w:rPr>
                <w:color w:val="000000"/>
                <w:sz w:val="22"/>
                <w:szCs w:val="22"/>
              </w:rPr>
              <w:t>100,00%</w:t>
            </w:r>
          </w:p>
        </w:tc>
        <w:tc>
          <w:tcPr>
            <w:tcW w:w="877" w:type="dxa"/>
            <w:tcBorders>
              <w:top w:val="nil"/>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color w:val="000000"/>
              </w:rPr>
            </w:pPr>
            <w:r w:rsidRPr="00642640">
              <w:rPr>
                <w:color w:val="000000"/>
                <w:sz w:val="22"/>
                <w:szCs w:val="22"/>
              </w:rPr>
              <w:t>100,00%</w:t>
            </w:r>
          </w:p>
        </w:tc>
      </w:tr>
      <w:tr w:rsidR="0053132A" w:rsidRPr="00642640" w:rsidTr="0053132A">
        <w:trPr>
          <w:trHeight w:val="315"/>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color w:val="000000"/>
              </w:rPr>
            </w:pPr>
            <w:r w:rsidRPr="00642640">
              <w:rPr>
                <w:color w:val="000000"/>
              </w:rPr>
              <w:t>SF</w:t>
            </w:r>
          </w:p>
        </w:tc>
        <w:tc>
          <w:tcPr>
            <w:tcW w:w="1134" w:type="dxa"/>
            <w:tcBorders>
              <w:top w:val="nil"/>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color w:val="000000"/>
              </w:rPr>
            </w:pPr>
            <w:r w:rsidRPr="00642640">
              <w:rPr>
                <w:color w:val="000000"/>
              </w:rPr>
              <w:t>1</w:t>
            </w:r>
          </w:p>
        </w:tc>
        <w:tc>
          <w:tcPr>
            <w:tcW w:w="1418" w:type="dxa"/>
            <w:tcBorders>
              <w:top w:val="nil"/>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color w:val="000000"/>
              </w:rPr>
            </w:pPr>
            <w:r w:rsidRPr="00642640">
              <w:rPr>
                <w:color w:val="000000"/>
              </w:rPr>
              <w:t>49 981 190</w:t>
            </w:r>
          </w:p>
        </w:tc>
        <w:tc>
          <w:tcPr>
            <w:tcW w:w="992" w:type="dxa"/>
            <w:tcBorders>
              <w:top w:val="nil"/>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color w:val="000000"/>
              </w:rPr>
            </w:pPr>
            <w:r w:rsidRPr="00642640">
              <w:rPr>
                <w:color w:val="000000"/>
              </w:rPr>
              <w:t>1</w:t>
            </w:r>
          </w:p>
        </w:tc>
        <w:tc>
          <w:tcPr>
            <w:tcW w:w="1418" w:type="dxa"/>
            <w:tcBorders>
              <w:top w:val="nil"/>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color w:val="000000"/>
              </w:rPr>
            </w:pPr>
            <w:r w:rsidRPr="00642640">
              <w:rPr>
                <w:color w:val="000000"/>
              </w:rPr>
              <w:t>49 981 190</w:t>
            </w:r>
          </w:p>
        </w:tc>
        <w:tc>
          <w:tcPr>
            <w:tcW w:w="965" w:type="dxa"/>
            <w:tcBorders>
              <w:top w:val="nil"/>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color w:val="000000"/>
              </w:rPr>
            </w:pPr>
            <w:r w:rsidRPr="00642640">
              <w:rPr>
                <w:color w:val="000000"/>
                <w:sz w:val="22"/>
                <w:szCs w:val="22"/>
              </w:rPr>
              <w:t>100,00%</w:t>
            </w:r>
          </w:p>
        </w:tc>
        <w:tc>
          <w:tcPr>
            <w:tcW w:w="877" w:type="dxa"/>
            <w:tcBorders>
              <w:top w:val="nil"/>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color w:val="000000"/>
              </w:rPr>
            </w:pPr>
            <w:r w:rsidRPr="00642640">
              <w:rPr>
                <w:color w:val="000000"/>
                <w:sz w:val="22"/>
                <w:szCs w:val="22"/>
              </w:rPr>
              <w:t>100,00%</w:t>
            </w:r>
          </w:p>
        </w:tc>
      </w:tr>
      <w:tr w:rsidR="0053132A" w:rsidRPr="00642640" w:rsidTr="0053132A">
        <w:trPr>
          <w:trHeight w:val="315"/>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b/>
                <w:bCs/>
                <w:color w:val="000000"/>
              </w:rPr>
            </w:pPr>
            <w:r w:rsidRPr="00642640">
              <w:rPr>
                <w:b/>
                <w:bCs/>
                <w:color w:val="000000"/>
              </w:rPr>
              <w:t>TOTAL</w:t>
            </w:r>
          </w:p>
        </w:tc>
        <w:tc>
          <w:tcPr>
            <w:tcW w:w="1134" w:type="dxa"/>
            <w:tcBorders>
              <w:top w:val="nil"/>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b/>
                <w:bCs/>
                <w:color w:val="000000"/>
              </w:rPr>
            </w:pPr>
            <w:r w:rsidRPr="00642640">
              <w:rPr>
                <w:b/>
                <w:bCs/>
                <w:color w:val="000000"/>
              </w:rPr>
              <w:t>11</w:t>
            </w:r>
          </w:p>
        </w:tc>
        <w:tc>
          <w:tcPr>
            <w:tcW w:w="1418" w:type="dxa"/>
            <w:tcBorders>
              <w:top w:val="nil"/>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b/>
                <w:bCs/>
                <w:color w:val="000000"/>
              </w:rPr>
            </w:pPr>
            <w:r w:rsidRPr="00642640">
              <w:rPr>
                <w:b/>
                <w:bCs/>
                <w:color w:val="000000"/>
              </w:rPr>
              <w:t>711 067 721</w:t>
            </w:r>
          </w:p>
        </w:tc>
        <w:tc>
          <w:tcPr>
            <w:tcW w:w="992" w:type="dxa"/>
            <w:tcBorders>
              <w:top w:val="nil"/>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b/>
                <w:bCs/>
                <w:color w:val="000000"/>
              </w:rPr>
            </w:pPr>
            <w:r w:rsidRPr="00642640">
              <w:rPr>
                <w:b/>
                <w:bCs/>
                <w:color w:val="000000"/>
              </w:rPr>
              <w:t>11</w:t>
            </w:r>
          </w:p>
        </w:tc>
        <w:tc>
          <w:tcPr>
            <w:tcW w:w="1418" w:type="dxa"/>
            <w:tcBorders>
              <w:top w:val="nil"/>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b/>
                <w:bCs/>
                <w:color w:val="000000"/>
              </w:rPr>
            </w:pPr>
            <w:r w:rsidRPr="00642640">
              <w:rPr>
                <w:b/>
                <w:bCs/>
                <w:color w:val="000000"/>
              </w:rPr>
              <w:t>711 067 721</w:t>
            </w:r>
          </w:p>
        </w:tc>
        <w:tc>
          <w:tcPr>
            <w:tcW w:w="965" w:type="dxa"/>
            <w:tcBorders>
              <w:top w:val="nil"/>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b/>
                <w:bCs/>
                <w:color w:val="000000"/>
              </w:rPr>
            </w:pPr>
            <w:r w:rsidRPr="00642640">
              <w:rPr>
                <w:b/>
                <w:bCs/>
                <w:color w:val="000000"/>
                <w:sz w:val="22"/>
                <w:szCs w:val="22"/>
              </w:rPr>
              <w:t>100,00%</w:t>
            </w:r>
          </w:p>
        </w:tc>
        <w:tc>
          <w:tcPr>
            <w:tcW w:w="877" w:type="dxa"/>
            <w:tcBorders>
              <w:top w:val="nil"/>
              <w:left w:val="nil"/>
              <w:bottom w:val="single" w:sz="4" w:space="0" w:color="auto"/>
              <w:right w:val="single" w:sz="4" w:space="0" w:color="auto"/>
            </w:tcBorders>
            <w:shd w:val="clear" w:color="auto" w:fill="auto"/>
            <w:noWrap/>
            <w:vAlign w:val="bottom"/>
            <w:hideMark/>
          </w:tcPr>
          <w:p w:rsidR="0053132A" w:rsidRPr="00642640" w:rsidRDefault="0053132A" w:rsidP="006026FE">
            <w:pPr>
              <w:spacing w:line="276" w:lineRule="auto"/>
              <w:jc w:val="both"/>
              <w:rPr>
                <w:b/>
                <w:bCs/>
                <w:color w:val="000000"/>
              </w:rPr>
            </w:pPr>
            <w:r w:rsidRPr="00642640">
              <w:rPr>
                <w:b/>
                <w:bCs/>
                <w:color w:val="000000"/>
                <w:sz w:val="22"/>
                <w:szCs w:val="22"/>
              </w:rPr>
              <w:t>100,00%</w:t>
            </w:r>
          </w:p>
        </w:tc>
      </w:tr>
    </w:tbl>
    <w:p w:rsidR="0053132A" w:rsidRDefault="0053132A" w:rsidP="006026FE">
      <w:pPr>
        <w:autoSpaceDE w:val="0"/>
        <w:autoSpaceDN w:val="0"/>
        <w:adjustRightInd w:val="0"/>
        <w:spacing w:line="276" w:lineRule="auto"/>
        <w:jc w:val="both"/>
        <w:rPr>
          <w:rFonts w:eastAsiaTheme="minorHAnsi"/>
          <w:lang w:eastAsia="en-US"/>
        </w:rPr>
      </w:pPr>
    </w:p>
    <w:p w:rsidR="0053132A" w:rsidRDefault="0053132A" w:rsidP="006026FE">
      <w:pPr>
        <w:autoSpaceDE w:val="0"/>
        <w:autoSpaceDN w:val="0"/>
        <w:adjustRightInd w:val="0"/>
        <w:spacing w:line="276" w:lineRule="auto"/>
        <w:jc w:val="both"/>
        <w:rPr>
          <w:b/>
        </w:rPr>
      </w:pPr>
      <w:r>
        <w:rPr>
          <w:b/>
        </w:rPr>
        <w:t>4.2.1.4</w:t>
      </w:r>
      <w:r w:rsidRPr="00A21EC5">
        <w:rPr>
          <w:b/>
        </w:rPr>
        <w:t xml:space="preserve"> choix des cinquante (50) marchés publics passés par les Etablissements Publics, les Sociétés d’Etat et les Sociétés d’Economie Mixte </w:t>
      </w:r>
    </w:p>
    <w:p w:rsidR="0053132A" w:rsidRPr="002B14F0" w:rsidRDefault="0053132A" w:rsidP="006026FE">
      <w:pPr>
        <w:autoSpaceDE w:val="0"/>
        <w:autoSpaceDN w:val="0"/>
        <w:adjustRightInd w:val="0"/>
        <w:spacing w:line="276" w:lineRule="auto"/>
        <w:jc w:val="both"/>
        <w:rPr>
          <w:rFonts w:eastAsiaTheme="minorHAnsi"/>
          <w:lang w:eastAsia="en-US"/>
        </w:rPr>
      </w:pPr>
      <w:r>
        <w:rPr>
          <w:rFonts w:eastAsiaTheme="minorHAnsi"/>
          <w:lang w:eastAsia="en-US"/>
        </w:rPr>
        <w:t xml:space="preserve">Conformément aux termes de référence, l’échantillon doit comprendre </w:t>
      </w:r>
      <w:r w:rsidRPr="00DD09EA">
        <w:t xml:space="preserve">150 marchés publics </w:t>
      </w:r>
      <w:r>
        <w:t>qui doivent</w:t>
      </w:r>
      <w:r w:rsidRPr="00DD09EA">
        <w:t xml:space="preserve"> tenir compte des tranches de marchés publics ci-après :</w:t>
      </w:r>
    </w:p>
    <w:p w:rsidR="0053132A" w:rsidRPr="00DD09EA" w:rsidRDefault="0053132A" w:rsidP="00D10A01">
      <w:pPr>
        <w:pStyle w:val="Paragraphedeliste"/>
        <w:numPr>
          <w:ilvl w:val="0"/>
          <w:numId w:val="5"/>
        </w:numPr>
        <w:spacing w:after="200" w:line="276" w:lineRule="auto"/>
        <w:jc w:val="both"/>
      </w:pPr>
      <w:r w:rsidRPr="00DD09EA">
        <w:t>Marchés dont le</w:t>
      </w:r>
      <w:r>
        <w:t>s montants sont compris entre 5 et 1</w:t>
      </w:r>
      <w:r w:rsidRPr="00DD09EA">
        <w:t>0 Millions ;</w:t>
      </w:r>
    </w:p>
    <w:p w:rsidR="0053132A" w:rsidRPr="00DD09EA" w:rsidRDefault="0053132A" w:rsidP="00D10A01">
      <w:pPr>
        <w:pStyle w:val="Paragraphedeliste"/>
        <w:numPr>
          <w:ilvl w:val="0"/>
          <w:numId w:val="5"/>
        </w:numPr>
        <w:spacing w:after="200" w:line="276" w:lineRule="auto"/>
        <w:jc w:val="both"/>
      </w:pPr>
      <w:r w:rsidRPr="00DD09EA">
        <w:t>Marchés dont le</w:t>
      </w:r>
      <w:r>
        <w:t>s montants sont compris entre 10 et 2</w:t>
      </w:r>
      <w:r w:rsidRPr="00DD09EA">
        <w:t>0 Millions ;</w:t>
      </w:r>
    </w:p>
    <w:p w:rsidR="0053132A" w:rsidRPr="00DD09EA" w:rsidRDefault="0053132A" w:rsidP="00D10A01">
      <w:pPr>
        <w:pStyle w:val="Paragraphedeliste"/>
        <w:numPr>
          <w:ilvl w:val="0"/>
          <w:numId w:val="5"/>
        </w:numPr>
        <w:spacing w:after="200" w:line="276" w:lineRule="auto"/>
        <w:jc w:val="both"/>
      </w:pPr>
      <w:r w:rsidRPr="00DD09EA">
        <w:t>Marchés dont le</w:t>
      </w:r>
      <w:r>
        <w:t>s montants sont compris entre 20 et 1</w:t>
      </w:r>
      <w:r w:rsidRPr="00DD09EA">
        <w:t>00 Millions ;</w:t>
      </w:r>
    </w:p>
    <w:p w:rsidR="0053132A" w:rsidRDefault="0053132A" w:rsidP="006026FE">
      <w:pPr>
        <w:autoSpaceDE w:val="0"/>
        <w:autoSpaceDN w:val="0"/>
        <w:adjustRightInd w:val="0"/>
        <w:spacing w:line="276" w:lineRule="auto"/>
        <w:jc w:val="both"/>
        <w:rPr>
          <w:rFonts w:eastAsiaTheme="minorHAnsi"/>
          <w:lang w:eastAsia="en-US"/>
        </w:rPr>
      </w:pPr>
      <w:r>
        <w:rPr>
          <w:rFonts w:eastAsiaTheme="minorHAnsi"/>
          <w:lang w:eastAsia="en-US"/>
        </w:rPr>
        <w:t xml:space="preserve">Afin de nous conformer aux différentes tranches ci –dessus définies, nous avons extrait de la liste des marchés 2015 tous les marchés  déjà sélectionnés (points </w:t>
      </w:r>
      <w:r w:rsidR="00353CCF">
        <w:rPr>
          <w:rFonts w:eastAsiaTheme="minorHAnsi"/>
          <w:lang w:eastAsia="en-US"/>
        </w:rPr>
        <w:t>4.2.</w:t>
      </w:r>
      <w:r>
        <w:rPr>
          <w:rFonts w:eastAsiaTheme="minorHAnsi"/>
          <w:lang w:eastAsia="en-US"/>
        </w:rPr>
        <w:t xml:space="preserve">1.1 et </w:t>
      </w:r>
      <w:r w:rsidR="00353CCF">
        <w:rPr>
          <w:rFonts w:eastAsiaTheme="minorHAnsi"/>
          <w:lang w:eastAsia="en-US"/>
        </w:rPr>
        <w:t>4.2.</w:t>
      </w:r>
      <w:r>
        <w:rPr>
          <w:rFonts w:eastAsiaTheme="minorHAnsi"/>
          <w:lang w:eastAsia="en-US"/>
        </w:rPr>
        <w:t>1.3 ci-dessus) dans notre échantillon. Il s’agit des marchés définis comme ci-après :</w:t>
      </w:r>
    </w:p>
    <w:p w:rsidR="0053132A" w:rsidRPr="003F7C8D" w:rsidRDefault="0053132A" w:rsidP="00D10A01">
      <w:pPr>
        <w:pStyle w:val="Paragraphedeliste"/>
        <w:numPr>
          <w:ilvl w:val="0"/>
          <w:numId w:val="6"/>
        </w:numPr>
        <w:spacing w:after="200" w:line="276" w:lineRule="auto"/>
        <w:jc w:val="both"/>
      </w:pPr>
      <w:r w:rsidRPr="003F7C8D">
        <w:t>Tr</w:t>
      </w:r>
      <w:r>
        <w:t>ous</w:t>
      </w:r>
      <w:r w:rsidRPr="003F7C8D">
        <w:t xml:space="preserve"> marchés publics passés par la Région de Tillabéri ;</w:t>
      </w:r>
    </w:p>
    <w:p w:rsidR="0053132A" w:rsidRPr="00E24B98" w:rsidRDefault="0053132A" w:rsidP="00D10A01">
      <w:pPr>
        <w:pStyle w:val="Paragraphedeliste"/>
        <w:numPr>
          <w:ilvl w:val="0"/>
          <w:numId w:val="6"/>
        </w:numPr>
        <w:autoSpaceDE w:val="0"/>
        <w:autoSpaceDN w:val="0"/>
        <w:adjustRightInd w:val="0"/>
        <w:spacing w:line="276" w:lineRule="auto"/>
        <w:jc w:val="both"/>
        <w:rPr>
          <w:rFonts w:eastAsiaTheme="minorHAnsi"/>
          <w:lang w:eastAsia="en-US"/>
        </w:rPr>
      </w:pPr>
      <w:r w:rsidRPr="003F7C8D">
        <w:t>Tous les marchés dont les montants sont supérieurs à 100 Millions</w:t>
      </w:r>
    </w:p>
    <w:p w:rsidR="0053132A" w:rsidRDefault="0053132A" w:rsidP="006026FE">
      <w:pPr>
        <w:autoSpaceDE w:val="0"/>
        <w:autoSpaceDN w:val="0"/>
        <w:adjustRightInd w:val="0"/>
        <w:spacing w:line="276" w:lineRule="auto"/>
        <w:jc w:val="both"/>
      </w:pPr>
    </w:p>
    <w:p w:rsidR="0053132A" w:rsidRDefault="0053132A" w:rsidP="006026FE">
      <w:pPr>
        <w:autoSpaceDE w:val="0"/>
        <w:autoSpaceDN w:val="0"/>
        <w:adjustRightInd w:val="0"/>
        <w:spacing w:line="276" w:lineRule="auto"/>
        <w:jc w:val="both"/>
      </w:pPr>
      <w:r>
        <w:t>La liste des marchés passés par les sociétés d’état et sociétés d’économie mixte et dont les montants sont inférieurs à 100 Millions se présente par mode de passation comme suit :</w:t>
      </w:r>
    </w:p>
    <w:p w:rsidR="00225AC6" w:rsidRDefault="00225AC6" w:rsidP="006026FE">
      <w:pPr>
        <w:autoSpaceDE w:val="0"/>
        <w:autoSpaceDN w:val="0"/>
        <w:adjustRightInd w:val="0"/>
        <w:spacing w:line="276" w:lineRule="auto"/>
        <w:jc w:val="both"/>
      </w:pPr>
    </w:p>
    <w:tbl>
      <w:tblPr>
        <w:tblW w:w="7899" w:type="dxa"/>
        <w:tblInd w:w="132" w:type="dxa"/>
        <w:tblCellMar>
          <w:left w:w="70" w:type="dxa"/>
          <w:right w:w="70" w:type="dxa"/>
        </w:tblCellMar>
        <w:tblLook w:val="04A0" w:firstRow="1" w:lastRow="0" w:firstColumn="1" w:lastColumn="0" w:noHBand="0" w:noVBand="1"/>
      </w:tblPr>
      <w:tblGrid>
        <w:gridCol w:w="4111"/>
        <w:gridCol w:w="1261"/>
        <w:gridCol w:w="1200"/>
        <w:gridCol w:w="1327"/>
      </w:tblGrid>
      <w:tr w:rsidR="0053132A" w:rsidRPr="008A4E26" w:rsidTr="00156E32">
        <w:trPr>
          <w:trHeight w:val="330"/>
        </w:trPr>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3132A" w:rsidRPr="008A4E26" w:rsidRDefault="0053132A" w:rsidP="006026FE">
            <w:pPr>
              <w:spacing w:line="276" w:lineRule="auto"/>
              <w:jc w:val="both"/>
              <w:rPr>
                <w:b/>
                <w:bCs/>
                <w:color w:val="000000"/>
              </w:rPr>
            </w:pPr>
            <w:r w:rsidRPr="008A4E26">
              <w:rPr>
                <w:b/>
                <w:bCs/>
                <w:color w:val="000000"/>
              </w:rPr>
              <w:t>Mode de passation</w:t>
            </w:r>
          </w:p>
        </w:tc>
        <w:tc>
          <w:tcPr>
            <w:tcW w:w="1261" w:type="dxa"/>
            <w:tcBorders>
              <w:top w:val="single" w:sz="8" w:space="0" w:color="auto"/>
              <w:left w:val="nil"/>
              <w:bottom w:val="single" w:sz="8" w:space="0" w:color="auto"/>
              <w:right w:val="single" w:sz="8" w:space="0" w:color="auto"/>
            </w:tcBorders>
            <w:shd w:val="clear" w:color="auto" w:fill="auto"/>
            <w:noWrap/>
            <w:vAlign w:val="center"/>
            <w:hideMark/>
          </w:tcPr>
          <w:p w:rsidR="0053132A" w:rsidRPr="008A4E26" w:rsidRDefault="0053132A" w:rsidP="00156E32">
            <w:pPr>
              <w:spacing w:line="276" w:lineRule="auto"/>
              <w:jc w:val="center"/>
              <w:rPr>
                <w:b/>
                <w:bCs/>
                <w:color w:val="000000"/>
              </w:rPr>
            </w:pPr>
            <w:r w:rsidRPr="008A4E26">
              <w:rPr>
                <w:b/>
                <w:bCs/>
                <w:color w:val="000000"/>
              </w:rPr>
              <w:t>Population</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53132A" w:rsidRPr="008A4E26" w:rsidRDefault="0053132A" w:rsidP="00156E32">
            <w:pPr>
              <w:spacing w:line="276" w:lineRule="auto"/>
              <w:jc w:val="center"/>
              <w:rPr>
                <w:b/>
                <w:bCs/>
                <w:color w:val="000000"/>
              </w:rPr>
            </w:pPr>
            <w:r w:rsidRPr="008A4E26">
              <w:rPr>
                <w:b/>
                <w:bCs/>
                <w:color w:val="000000"/>
              </w:rPr>
              <w:t>% à retenir</w:t>
            </w:r>
          </w:p>
        </w:tc>
        <w:tc>
          <w:tcPr>
            <w:tcW w:w="1327" w:type="dxa"/>
            <w:tcBorders>
              <w:top w:val="single" w:sz="8" w:space="0" w:color="auto"/>
              <w:left w:val="nil"/>
              <w:bottom w:val="single" w:sz="8" w:space="0" w:color="auto"/>
              <w:right w:val="single" w:sz="8" w:space="0" w:color="auto"/>
            </w:tcBorders>
            <w:shd w:val="clear" w:color="auto" w:fill="auto"/>
            <w:noWrap/>
            <w:vAlign w:val="center"/>
            <w:hideMark/>
          </w:tcPr>
          <w:p w:rsidR="0053132A" w:rsidRPr="008A4E26" w:rsidRDefault="0053132A" w:rsidP="00156E32">
            <w:pPr>
              <w:spacing w:line="276" w:lineRule="auto"/>
              <w:jc w:val="center"/>
              <w:rPr>
                <w:b/>
                <w:bCs/>
                <w:color w:val="000000"/>
              </w:rPr>
            </w:pPr>
            <w:r w:rsidRPr="008A4E26">
              <w:rPr>
                <w:b/>
                <w:bCs/>
                <w:color w:val="000000"/>
              </w:rPr>
              <w:t>Echantillon</w:t>
            </w:r>
          </w:p>
        </w:tc>
      </w:tr>
      <w:tr w:rsidR="0053132A" w:rsidRPr="008A4E26" w:rsidTr="00156E32">
        <w:trPr>
          <w:trHeight w:val="33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53132A" w:rsidRPr="008A4E26" w:rsidRDefault="0053132A" w:rsidP="006026FE">
            <w:pPr>
              <w:spacing w:line="276" w:lineRule="auto"/>
              <w:jc w:val="both"/>
              <w:rPr>
                <w:color w:val="000000"/>
              </w:rPr>
            </w:pPr>
            <w:r w:rsidRPr="008A4E26">
              <w:rPr>
                <w:color w:val="000000"/>
              </w:rPr>
              <w:t>Appel d’Offre International (AOI)</w:t>
            </w:r>
          </w:p>
        </w:tc>
        <w:tc>
          <w:tcPr>
            <w:tcW w:w="1261" w:type="dxa"/>
            <w:tcBorders>
              <w:top w:val="nil"/>
              <w:left w:val="nil"/>
              <w:bottom w:val="single" w:sz="8" w:space="0" w:color="auto"/>
              <w:right w:val="single" w:sz="8" w:space="0" w:color="auto"/>
            </w:tcBorders>
            <w:shd w:val="clear" w:color="auto" w:fill="auto"/>
            <w:noWrap/>
            <w:vAlign w:val="center"/>
            <w:hideMark/>
          </w:tcPr>
          <w:p w:rsidR="0053132A" w:rsidRPr="008A4E26" w:rsidRDefault="0053132A" w:rsidP="00156E32">
            <w:pPr>
              <w:spacing w:line="276" w:lineRule="auto"/>
              <w:jc w:val="center"/>
              <w:rPr>
                <w:color w:val="000000"/>
              </w:rPr>
            </w:pPr>
            <w:r w:rsidRPr="008A4E26">
              <w:rPr>
                <w:color w:val="000000"/>
              </w:rPr>
              <w:t>1</w:t>
            </w:r>
          </w:p>
        </w:tc>
        <w:tc>
          <w:tcPr>
            <w:tcW w:w="1200" w:type="dxa"/>
            <w:tcBorders>
              <w:top w:val="nil"/>
              <w:left w:val="nil"/>
              <w:bottom w:val="single" w:sz="8" w:space="0" w:color="auto"/>
              <w:right w:val="single" w:sz="8" w:space="0" w:color="auto"/>
            </w:tcBorders>
            <w:shd w:val="clear" w:color="auto" w:fill="auto"/>
            <w:noWrap/>
            <w:vAlign w:val="center"/>
            <w:hideMark/>
          </w:tcPr>
          <w:p w:rsidR="0053132A" w:rsidRPr="008A4E26" w:rsidRDefault="0053132A" w:rsidP="00156E32">
            <w:pPr>
              <w:spacing w:line="276" w:lineRule="auto"/>
              <w:jc w:val="center"/>
              <w:rPr>
                <w:color w:val="000000"/>
              </w:rPr>
            </w:pPr>
            <w:r w:rsidRPr="008A4E26">
              <w:rPr>
                <w:color w:val="000000"/>
              </w:rPr>
              <w:t>100%</w:t>
            </w:r>
          </w:p>
        </w:tc>
        <w:tc>
          <w:tcPr>
            <w:tcW w:w="1327" w:type="dxa"/>
            <w:tcBorders>
              <w:top w:val="nil"/>
              <w:left w:val="nil"/>
              <w:bottom w:val="single" w:sz="8" w:space="0" w:color="auto"/>
              <w:right w:val="single" w:sz="8" w:space="0" w:color="auto"/>
            </w:tcBorders>
            <w:shd w:val="clear" w:color="auto" w:fill="auto"/>
            <w:noWrap/>
            <w:vAlign w:val="center"/>
            <w:hideMark/>
          </w:tcPr>
          <w:p w:rsidR="0053132A" w:rsidRPr="008A4E26" w:rsidRDefault="0053132A" w:rsidP="00156E32">
            <w:pPr>
              <w:spacing w:line="276" w:lineRule="auto"/>
              <w:jc w:val="center"/>
              <w:rPr>
                <w:color w:val="000000"/>
              </w:rPr>
            </w:pPr>
            <w:r w:rsidRPr="008A4E26">
              <w:rPr>
                <w:color w:val="000000"/>
              </w:rPr>
              <w:t>1</w:t>
            </w:r>
          </w:p>
        </w:tc>
      </w:tr>
      <w:tr w:rsidR="0053132A" w:rsidRPr="008A4E26" w:rsidTr="00156E32">
        <w:trPr>
          <w:trHeight w:val="33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53132A" w:rsidRPr="009311F2" w:rsidRDefault="0053132A" w:rsidP="006026FE">
            <w:pPr>
              <w:spacing w:line="276" w:lineRule="auto"/>
              <w:jc w:val="both"/>
              <w:rPr>
                <w:color w:val="000000"/>
              </w:rPr>
            </w:pPr>
            <w:r w:rsidRPr="009311F2">
              <w:rPr>
                <w:color w:val="000000"/>
              </w:rPr>
              <w:t>Appel d’Offre National (AON)</w:t>
            </w:r>
          </w:p>
        </w:tc>
        <w:tc>
          <w:tcPr>
            <w:tcW w:w="1261"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23</w:t>
            </w:r>
          </w:p>
        </w:tc>
        <w:tc>
          <w:tcPr>
            <w:tcW w:w="1200"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70%</w:t>
            </w:r>
          </w:p>
        </w:tc>
        <w:tc>
          <w:tcPr>
            <w:tcW w:w="1327" w:type="dxa"/>
            <w:tcBorders>
              <w:top w:val="nil"/>
              <w:left w:val="nil"/>
              <w:bottom w:val="single" w:sz="8" w:space="0" w:color="auto"/>
              <w:right w:val="single" w:sz="8" w:space="0" w:color="auto"/>
            </w:tcBorders>
            <w:shd w:val="clear" w:color="auto" w:fill="auto"/>
            <w:noWrap/>
            <w:vAlign w:val="center"/>
            <w:hideMark/>
          </w:tcPr>
          <w:p w:rsidR="0053132A" w:rsidRPr="008A4E26" w:rsidRDefault="0053132A" w:rsidP="00156E32">
            <w:pPr>
              <w:spacing w:line="276" w:lineRule="auto"/>
              <w:jc w:val="center"/>
              <w:rPr>
                <w:color w:val="000000"/>
              </w:rPr>
            </w:pPr>
            <w:r w:rsidRPr="009311F2">
              <w:rPr>
                <w:color w:val="000000"/>
              </w:rPr>
              <w:t>16</w:t>
            </w:r>
          </w:p>
        </w:tc>
      </w:tr>
      <w:tr w:rsidR="0053132A" w:rsidRPr="008A4E26" w:rsidTr="00156E32">
        <w:trPr>
          <w:trHeight w:val="33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53132A" w:rsidRPr="008A4E26" w:rsidRDefault="0053132A" w:rsidP="006026FE">
            <w:pPr>
              <w:spacing w:line="276" w:lineRule="auto"/>
              <w:jc w:val="both"/>
              <w:rPr>
                <w:color w:val="000000"/>
              </w:rPr>
            </w:pPr>
            <w:r w:rsidRPr="008A4E26">
              <w:rPr>
                <w:color w:val="000000"/>
              </w:rPr>
              <w:t>Appel d’Offre Restreint (AOR)</w:t>
            </w:r>
          </w:p>
        </w:tc>
        <w:tc>
          <w:tcPr>
            <w:tcW w:w="1261" w:type="dxa"/>
            <w:tcBorders>
              <w:top w:val="nil"/>
              <w:left w:val="nil"/>
              <w:bottom w:val="single" w:sz="8" w:space="0" w:color="auto"/>
              <w:right w:val="single" w:sz="8" w:space="0" w:color="auto"/>
            </w:tcBorders>
            <w:shd w:val="clear" w:color="auto" w:fill="auto"/>
            <w:noWrap/>
            <w:vAlign w:val="center"/>
            <w:hideMark/>
          </w:tcPr>
          <w:p w:rsidR="0053132A" w:rsidRPr="008A4E26" w:rsidRDefault="0053132A" w:rsidP="00156E32">
            <w:pPr>
              <w:spacing w:line="276" w:lineRule="auto"/>
              <w:jc w:val="center"/>
              <w:rPr>
                <w:color w:val="000000"/>
              </w:rPr>
            </w:pPr>
            <w:r w:rsidRPr="008A4E26">
              <w:rPr>
                <w:color w:val="000000"/>
              </w:rPr>
              <w:t>1</w:t>
            </w:r>
          </w:p>
        </w:tc>
        <w:tc>
          <w:tcPr>
            <w:tcW w:w="1200" w:type="dxa"/>
            <w:tcBorders>
              <w:top w:val="nil"/>
              <w:left w:val="nil"/>
              <w:bottom w:val="single" w:sz="8" w:space="0" w:color="auto"/>
              <w:right w:val="single" w:sz="8" w:space="0" w:color="auto"/>
            </w:tcBorders>
            <w:shd w:val="clear" w:color="auto" w:fill="auto"/>
            <w:noWrap/>
            <w:vAlign w:val="center"/>
            <w:hideMark/>
          </w:tcPr>
          <w:p w:rsidR="0053132A" w:rsidRPr="008A4E26" w:rsidRDefault="0053132A" w:rsidP="00156E32">
            <w:pPr>
              <w:spacing w:line="276" w:lineRule="auto"/>
              <w:jc w:val="center"/>
              <w:rPr>
                <w:color w:val="000000"/>
              </w:rPr>
            </w:pPr>
            <w:r w:rsidRPr="008A4E26">
              <w:rPr>
                <w:color w:val="000000"/>
              </w:rPr>
              <w:t>100%</w:t>
            </w:r>
          </w:p>
        </w:tc>
        <w:tc>
          <w:tcPr>
            <w:tcW w:w="1327" w:type="dxa"/>
            <w:tcBorders>
              <w:top w:val="nil"/>
              <w:left w:val="nil"/>
              <w:bottom w:val="single" w:sz="8" w:space="0" w:color="auto"/>
              <w:right w:val="single" w:sz="8" w:space="0" w:color="auto"/>
            </w:tcBorders>
            <w:shd w:val="clear" w:color="auto" w:fill="auto"/>
            <w:noWrap/>
            <w:vAlign w:val="center"/>
            <w:hideMark/>
          </w:tcPr>
          <w:p w:rsidR="0053132A" w:rsidRPr="008A4E26" w:rsidRDefault="0053132A" w:rsidP="00156E32">
            <w:pPr>
              <w:spacing w:line="276" w:lineRule="auto"/>
              <w:jc w:val="center"/>
              <w:rPr>
                <w:color w:val="000000"/>
              </w:rPr>
            </w:pPr>
            <w:r w:rsidRPr="008A4E26">
              <w:rPr>
                <w:color w:val="000000"/>
              </w:rPr>
              <w:t>1</w:t>
            </w:r>
          </w:p>
        </w:tc>
      </w:tr>
      <w:tr w:rsidR="0053132A" w:rsidRPr="008A4E26" w:rsidTr="00156E32">
        <w:trPr>
          <w:trHeight w:val="33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53132A" w:rsidRPr="009311F2" w:rsidRDefault="0053132A" w:rsidP="006026FE">
            <w:pPr>
              <w:spacing w:line="276" w:lineRule="auto"/>
              <w:jc w:val="both"/>
              <w:rPr>
                <w:color w:val="000000"/>
              </w:rPr>
            </w:pPr>
            <w:r w:rsidRPr="009311F2">
              <w:rPr>
                <w:color w:val="000000"/>
              </w:rPr>
              <w:lastRenderedPageBreak/>
              <w:t>Entente directe (ED)</w:t>
            </w:r>
          </w:p>
        </w:tc>
        <w:tc>
          <w:tcPr>
            <w:tcW w:w="1261"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11</w:t>
            </w:r>
          </w:p>
        </w:tc>
        <w:tc>
          <w:tcPr>
            <w:tcW w:w="1200"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100%</w:t>
            </w:r>
          </w:p>
        </w:tc>
        <w:tc>
          <w:tcPr>
            <w:tcW w:w="1327" w:type="dxa"/>
            <w:tcBorders>
              <w:top w:val="nil"/>
              <w:left w:val="nil"/>
              <w:bottom w:val="single" w:sz="8" w:space="0" w:color="auto"/>
              <w:right w:val="single" w:sz="8" w:space="0" w:color="auto"/>
            </w:tcBorders>
            <w:shd w:val="clear" w:color="auto" w:fill="auto"/>
            <w:noWrap/>
            <w:vAlign w:val="center"/>
            <w:hideMark/>
          </w:tcPr>
          <w:p w:rsidR="0053132A" w:rsidRPr="008A4E26" w:rsidRDefault="0053132A" w:rsidP="00156E32">
            <w:pPr>
              <w:spacing w:line="276" w:lineRule="auto"/>
              <w:jc w:val="center"/>
              <w:rPr>
                <w:color w:val="000000"/>
              </w:rPr>
            </w:pPr>
            <w:r w:rsidRPr="009311F2">
              <w:rPr>
                <w:color w:val="000000"/>
              </w:rPr>
              <w:t>11</w:t>
            </w:r>
          </w:p>
        </w:tc>
      </w:tr>
      <w:tr w:rsidR="0053132A" w:rsidRPr="008A4E26" w:rsidTr="00156E32">
        <w:trPr>
          <w:trHeight w:val="33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53132A" w:rsidRPr="008A4E26" w:rsidRDefault="0053132A" w:rsidP="006026FE">
            <w:pPr>
              <w:spacing w:line="276" w:lineRule="auto"/>
              <w:jc w:val="both"/>
              <w:rPr>
                <w:color w:val="000000"/>
              </w:rPr>
            </w:pPr>
            <w:r w:rsidRPr="008A4E26">
              <w:rPr>
                <w:color w:val="000000"/>
              </w:rPr>
              <w:t>Consultation Fournisseurs (CF)</w:t>
            </w:r>
          </w:p>
        </w:tc>
        <w:tc>
          <w:tcPr>
            <w:tcW w:w="1261" w:type="dxa"/>
            <w:tcBorders>
              <w:top w:val="nil"/>
              <w:left w:val="nil"/>
              <w:bottom w:val="single" w:sz="8" w:space="0" w:color="auto"/>
              <w:right w:val="single" w:sz="8" w:space="0" w:color="auto"/>
            </w:tcBorders>
            <w:shd w:val="clear" w:color="auto" w:fill="auto"/>
            <w:noWrap/>
            <w:vAlign w:val="center"/>
            <w:hideMark/>
          </w:tcPr>
          <w:p w:rsidR="0053132A" w:rsidRPr="008A4E26" w:rsidRDefault="0053132A" w:rsidP="00156E32">
            <w:pPr>
              <w:spacing w:line="276" w:lineRule="auto"/>
              <w:jc w:val="center"/>
              <w:rPr>
                <w:color w:val="000000"/>
              </w:rPr>
            </w:pPr>
            <w:r w:rsidRPr="008A4E26">
              <w:rPr>
                <w:color w:val="000000"/>
              </w:rPr>
              <w:t>3</w:t>
            </w:r>
          </w:p>
        </w:tc>
        <w:tc>
          <w:tcPr>
            <w:tcW w:w="1200" w:type="dxa"/>
            <w:tcBorders>
              <w:top w:val="nil"/>
              <w:left w:val="nil"/>
              <w:bottom w:val="single" w:sz="8" w:space="0" w:color="auto"/>
              <w:right w:val="single" w:sz="8" w:space="0" w:color="auto"/>
            </w:tcBorders>
            <w:shd w:val="clear" w:color="auto" w:fill="auto"/>
            <w:noWrap/>
            <w:vAlign w:val="center"/>
            <w:hideMark/>
          </w:tcPr>
          <w:p w:rsidR="0053132A" w:rsidRPr="008A4E26" w:rsidRDefault="0053132A" w:rsidP="00156E32">
            <w:pPr>
              <w:spacing w:line="276" w:lineRule="auto"/>
              <w:jc w:val="center"/>
              <w:rPr>
                <w:color w:val="000000"/>
              </w:rPr>
            </w:pPr>
            <w:r w:rsidRPr="008A4E26">
              <w:rPr>
                <w:color w:val="000000"/>
              </w:rPr>
              <w:t>100%</w:t>
            </w:r>
          </w:p>
        </w:tc>
        <w:tc>
          <w:tcPr>
            <w:tcW w:w="1327" w:type="dxa"/>
            <w:tcBorders>
              <w:top w:val="nil"/>
              <w:left w:val="nil"/>
              <w:bottom w:val="single" w:sz="8" w:space="0" w:color="auto"/>
              <w:right w:val="single" w:sz="8" w:space="0" w:color="auto"/>
            </w:tcBorders>
            <w:shd w:val="clear" w:color="auto" w:fill="auto"/>
            <w:noWrap/>
            <w:vAlign w:val="center"/>
            <w:hideMark/>
          </w:tcPr>
          <w:p w:rsidR="0053132A" w:rsidRPr="008A4E26" w:rsidRDefault="0053132A" w:rsidP="00156E32">
            <w:pPr>
              <w:spacing w:line="276" w:lineRule="auto"/>
              <w:jc w:val="center"/>
              <w:rPr>
                <w:color w:val="000000"/>
              </w:rPr>
            </w:pPr>
            <w:r w:rsidRPr="008A4E26">
              <w:rPr>
                <w:color w:val="000000"/>
              </w:rPr>
              <w:t>3</w:t>
            </w:r>
          </w:p>
        </w:tc>
      </w:tr>
      <w:tr w:rsidR="0053132A" w:rsidRPr="008A4E26" w:rsidTr="00156E32">
        <w:trPr>
          <w:trHeight w:val="33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53132A" w:rsidRPr="008A4E26" w:rsidRDefault="0053132A" w:rsidP="006026FE">
            <w:pPr>
              <w:spacing w:line="276" w:lineRule="auto"/>
              <w:jc w:val="both"/>
              <w:rPr>
                <w:color w:val="000000"/>
              </w:rPr>
            </w:pPr>
            <w:r w:rsidRPr="008A4E26">
              <w:rPr>
                <w:color w:val="000000"/>
              </w:rPr>
              <w:t>Contrat Simple Facture (SF)</w:t>
            </w:r>
          </w:p>
        </w:tc>
        <w:tc>
          <w:tcPr>
            <w:tcW w:w="1261" w:type="dxa"/>
            <w:tcBorders>
              <w:top w:val="nil"/>
              <w:left w:val="nil"/>
              <w:bottom w:val="single" w:sz="8" w:space="0" w:color="auto"/>
              <w:right w:val="single" w:sz="8" w:space="0" w:color="auto"/>
            </w:tcBorders>
            <w:shd w:val="clear" w:color="auto" w:fill="auto"/>
            <w:noWrap/>
            <w:vAlign w:val="center"/>
            <w:hideMark/>
          </w:tcPr>
          <w:p w:rsidR="0053132A" w:rsidRPr="008A4E26" w:rsidRDefault="0053132A" w:rsidP="00156E32">
            <w:pPr>
              <w:spacing w:line="276" w:lineRule="auto"/>
              <w:jc w:val="center"/>
              <w:rPr>
                <w:color w:val="000000"/>
              </w:rPr>
            </w:pPr>
            <w:r w:rsidRPr="008A4E26">
              <w:rPr>
                <w:color w:val="000000"/>
              </w:rPr>
              <w:t>30</w:t>
            </w:r>
          </w:p>
        </w:tc>
        <w:tc>
          <w:tcPr>
            <w:tcW w:w="1200" w:type="dxa"/>
            <w:tcBorders>
              <w:top w:val="nil"/>
              <w:left w:val="nil"/>
              <w:bottom w:val="single" w:sz="8" w:space="0" w:color="auto"/>
              <w:right w:val="single" w:sz="8" w:space="0" w:color="auto"/>
            </w:tcBorders>
            <w:shd w:val="clear" w:color="auto" w:fill="auto"/>
            <w:noWrap/>
            <w:vAlign w:val="center"/>
            <w:hideMark/>
          </w:tcPr>
          <w:p w:rsidR="0053132A" w:rsidRPr="008A4E26" w:rsidRDefault="0053132A" w:rsidP="00156E32">
            <w:pPr>
              <w:spacing w:line="276" w:lineRule="auto"/>
              <w:jc w:val="center"/>
              <w:rPr>
                <w:color w:val="000000"/>
              </w:rPr>
            </w:pPr>
            <w:r w:rsidRPr="008A4E26">
              <w:rPr>
                <w:color w:val="000000"/>
              </w:rPr>
              <w:t>60%</w:t>
            </w:r>
          </w:p>
        </w:tc>
        <w:tc>
          <w:tcPr>
            <w:tcW w:w="1327" w:type="dxa"/>
            <w:tcBorders>
              <w:top w:val="nil"/>
              <w:left w:val="nil"/>
              <w:bottom w:val="single" w:sz="8" w:space="0" w:color="auto"/>
              <w:right w:val="single" w:sz="8" w:space="0" w:color="auto"/>
            </w:tcBorders>
            <w:shd w:val="clear" w:color="auto" w:fill="auto"/>
            <w:noWrap/>
            <w:vAlign w:val="center"/>
            <w:hideMark/>
          </w:tcPr>
          <w:p w:rsidR="0053132A" w:rsidRPr="008A4E26" w:rsidRDefault="0053132A" w:rsidP="00156E32">
            <w:pPr>
              <w:spacing w:line="276" w:lineRule="auto"/>
              <w:jc w:val="center"/>
              <w:rPr>
                <w:color w:val="000000"/>
              </w:rPr>
            </w:pPr>
            <w:r w:rsidRPr="008A4E26">
              <w:rPr>
                <w:color w:val="000000"/>
              </w:rPr>
              <w:t>18</w:t>
            </w:r>
          </w:p>
        </w:tc>
      </w:tr>
      <w:tr w:rsidR="0053132A" w:rsidRPr="002D5A4A" w:rsidTr="00156E32">
        <w:trPr>
          <w:trHeight w:val="330"/>
        </w:trPr>
        <w:tc>
          <w:tcPr>
            <w:tcW w:w="4111" w:type="dxa"/>
            <w:tcBorders>
              <w:top w:val="nil"/>
              <w:left w:val="single" w:sz="8" w:space="0" w:color="auto"/>
              <w:bottom w:val="single" w:sz="8" w:space="0" w:color="auto"/>
              <w:right w:val="single" w:sz="8" w:space="0" w:color="auto"/>
            </w:tcBorders>
            <w:shd w:val="clear" w:color="auto" w:fill="auto"/>
            <w:noWrap/>
            <w:vAlign w:val="center"/>
            <w:hideMark/>
          </w:tcPr>
          <w:p w:rsidR="0053132A" w:rsidRPr="002D5A4A" w:rsidRDefault="0053132A" w:rsidP="006026FE">
            <w:pPr>
              <w:spacing w:line="276" w:lineRule="auto"/>
              <w:jc w:val="both"/>
              <w:rPr>
                <w:b/>
                <w:color w:val="000000"/>
              </w:rPr>
            </w:pPr>
            <w:r w:rsidRPr="002D5A4A">
              <w:rPr>
                <w:b/>
                <w:color w:val="000000"/>
              </w:rPr>
              <w:t>TOTAL</w:t>
            </w:r>
          </w:p>
        </w:tc>
        <w:tc>
          <w:tcPr>
            <w:tcW w:w="1261" w:type="dxa"/>
            <w:tcBorders>
              <w:top w:val="nil"/>
              <w:left w:val="nil"/>
              <w:bottom w:val="single" w:sz="8" w:space="0" w:color="auto"/>
              <w:right w:val="single" w:sz="8" w:space="0" w:color="auto"/>
            </w:tcBorders>
            <w:shd w:val="clear" w:color="auto" w:fill="auto"/>
            <w:noWrap/>
            <w:vAlign w:val="center"/>
            <w:hideMark/>
          </w:tcPr>
          <w:p w:rsidR="0053132A" w:rsidRPr="002D5A4A" w:rsidRDefault="0053132A" w:rsidP="00156E32">
            <w:pPr>
              <w:spacing w:line="276" w:lineRule="auto"/>
              <w:jc w:val="center"/>
              <w:rPr>
                <w:b/>
                <w:color w:val="000000"/>
              </w:rPr>
            </w:pPr>
            <w:r w:rsidRPr="002D5A4A">
              <w:rPr>
                <w:b/>
                <w:color w:val="000000"/>
              </w:rPr>
              <w:t>69</w:t>
            </w:r>
          </w:p>
        </w:tc>
        <w:tc>
          <w:tcPr>
            <w:tcW w:w="1200" w:type="dxa"/>
            <w:tcBorders>
              <w:top w:val="nil"/>
              <w:left w:val="nil"/>
              <w:bottom w:val="single" w:sz="8" w:space="0" w:color="auto"/>
              <w:right w:val="single" w:sz="8" w:space="0" w:color="auto"/>
            </w:tcBorders>
            <w:shd w:val="clear" w:color="auto" w:fill="auto"/>
            <w:noWrap/>
            <w:vAlign w:val="center"/>
            <w:hideMark/>
          </w:tcPr>
          <w:p w:rsidR="0053132A" w:rsidRPr="002D5A4A" w:rsidRDefault="0053132A" w:rsidP="00156E32">
            <w:pPr>
              <w:spacing w:line="276" w:lineRule="auto"/>
              <w:jc w:val="center"/>
              <w:rPr>
                <w:b/>
                <w:color w:val="000000"/>
              </w:rPr>
            </w:pPr>
          </w:p>
        </w:tc>
        <w:tc>
          <w:tcPr>
            <w:tcW w:w="1327" w:type="dxa"/>
            <w:tcBorders>
              <w:top w:val="nil"/>
              <w:left w:val="nil"/>
              <w:bottom w:val="single" w:sz="8" w:space="0" w:color="auto"/>
              <w:right w:val="single" w:sz="8" w:space="0" w:color="auto"/>
            </w:tcBorders>
            <w:shd w:val="clear" w:color="auto" w:fill="auto"/>
            <w:noWrap/>
            <w:vAlign w:val="center"/>
            <w:hideMark/>
          </w:tcPr>
          <w:p w:rsidR="0053132A" w:rsidRPr="002D5A4A" w:rsidRDefault="0053132A" w:rsidP="00156E32">
            <w:pPr>
              <w:spacing w:line="276" w:lineRule="auto"/>
              <w:jc w:val="center"/>
              <w:rPr>
                <w:b/>
                <w:color w:val="000000"/>
              </w:rPr>
            </w:pPr>
            <w:r w:rsidRPr="002D5A4A">
              <w:rPr>
                <w:b/>
                <w:color w:val="000000"/>
              </w:rPr>
              <w:t>50</w:t>
            </w:r>
          </w:p>
        </w:tc>
      </w:tr>
    </w:tbl>
    <w:p w:rsidR="0053132A" w:rsidRDefault="0053132A" w:rsidP="006026FE">
      <w:pPr>
        <w:autoSpaceDE w:val="0"/>
        <w:autoSpaceDN w:val="0"/>
        <w:adjustRightInd w:val="0"/>
        <w:spacing w:line="276" w:lineRule="auto"/>
        <w:jc w:val="both"/>
      </w:pPr>
    </w:p>
    <w:p w:rsidR="0053132A" w:rsidRDefault="0053132A" w:rsidP="006026FE">
      <w:pPr>
        <w:autoSpaceDE w:val="0"/>
        <w:autoSpaceDN w:val="0"/>
        <w:adjustRightInd w:val="0"/>
        <w:spacing w:line="276" w:lineRule="auto"/>
        <w:jc w:val="both"/>
      </w:pPr>
      <w:r>
        <w:t xml:space="preserve">Le nombre des </w:t>
      </w:r>
      <w:r w:rsidRPr="00856E87">
        <w:rPr>
          <w:color w:val="000000"/>
        </w:rPr>
        <w:t>Appel d’Offre International (AOI), Appel d’Offre National (AON) et les Consultations Fournisseurs (CF) n’é</w:t>
      </w:r>
      <w:r>
        <w:rPr>
          <w:color w:val="000000"/>
        </w:rPr>
        <w:t xml:space="preserve">tant pas élevé, nous avons opté de les </w:t>
      </w:r>
      <w:r w:rsidRPr="00856E87">
        <w:rPr>
          <w:color w:val="000000"/>
        </w:rPr>
        <w:t>intégrer</w:t>
      </w:r>
      <w:r>
        <w:rPr>
          <w:color w:val="000000"/>
        </w:rPr>
        <w:t xml:space="preserve"> à 100% </w:t>
      </w:r>
      <w:r w:rsidRPr="00856E87">
        <w:rPr>
          <w:color w:val="000000"/>
        </w:rPr>
        <w:t xml:space="preserve"> dans l’échantillon ces modes de passation.</w:t>
      </w:r>
    </w:p>
    <w:p w:rsidR="0053132A" w:rsidRDefault="0053132A" w:rsidP="006026FE">
      <w:pPr>
        <w:autoSpaceDE w:val="0"/>
        <w:autoSpaceDN w:val="0"/>
        <w:adjustRightInd w:val="0"/>
        <w:spacing w:line="276" w:lineRule="auto"/>
        <w:jc w:val="both"/>
        <w:rPr>
          <w:color w:val="000000"/>
        </w:rPr>
      </w:pPr>
      <w:r>
        <w:t xml:space="preserve">Les </w:t>
      </w:r>
      <w:r w:rsidRPr="009E4733">
        <w:rPr>
          <w:color w:val="000000"/>
        </w:rPr>
        <w:t xml:space="preserve">Appels d’Offre Restreint (AOR) et les Contrats Simple Facture (SF) ont été sélectionnés en tenant compte des autorités contractantes et Type de marché. </w:t>
      </w:r>
    </w:p>
    <w:p w:rsidR="00353CCF" w:rsidRDefault="00353CCF" w:rsidP="006026FE">
      <w:pPr>
        <w:autoSpaceDE w:val="0"/>
        <w:autoSpaceDN w:val="0"/>
        <w:adjustRightInd w:val="0"/>
        <w:spacing w:line="276" w:lineRule="auto"/>
        <w:jc w:val="both"/>
      </w:pPr>
    </w:p>
    <w:tbl>
      <w:tblPr>
        <w:tblW w:w="9293" w:type="dxa"/>
        <w:tblInd w:w="-5" w:type="dxa"/>
        <w:tblCellMar>
          <w:left w:w="70" w:type="dxa"/>
          <w:right w:w="70" w:type="dxa"/>
        </w:tblCellMar>
        <w:tblLook w:val="04A0" w:firstRow="1" w:lastRow="0" w:firstColumn="1" w:lastColumn="0" w:noHBand="0" w:noVBand="1"/>
      </w:tblPr>
      <w:tblGrid>
        <w:gridCol w:w="2268"/>
        <w:gridCol w:w="993"/>
        <w:gridCol w:w="1559"/>
        <w:gridCol w:w="980"/>
        <w:gridCol w:w="1571"/>
        <w:gridCol w:w="993"/>
        <w:gridCol w:w="929"/>
      </w:tblGrid>
      <w:tr w:rsidR="0053132A" w:rsidRPr="005B1747" w:rsidTr="00156E32">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132A" w:rsidRPr="005B1747" w:rsidRDefault="0053132A" w:rsidP="006026FE">
            <w:pPr>
              <w:spacing w:line="276" w:lineRule="auto"/>
              <w:jc w:val="both"/>
              <w:rPr>
                <w:b/>
                <w:bCs/>
                <w:color w:val="000000"/>
              </w:rPr>
            </w:pPr>
            <w:r w:rsidRPr="005B1747">
              <w:rPr>
                <w:b/>
                <w:bCs/>
                <w:color w:val="000000"/>
              </w:rPr>
              <w:t>Mode de passation</w:t>
            </w:r>
          </w:p>
        </w:tc>
        <w:tc>
          <w:tcPr>
            <w:tcW w:w="255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3132A" w:rsidRPr="005B1747" w:rsidRDefault="0053132A" w:rsidP="00156E32">
            <w:pPr>
              <w:spacing w:line="276" w:lineRule="auto"/>
              <w:jc w:val="center"/>
              <w:rPr>
                <w:b/>
                <w:bCs/>
                <w:color w:val="000000"/>
              </w:rPr>
            </w:pPr>
            <w:r w:rsidRPr="005B1747">
              <w:rPr>
                <w:b/>
                <w:bCs/>
                <w:color w:val="000000"/>
              </w:rPr>
              <w:t>Population</w:t>
            </w:r>
          </w:p>
        </w:tc>
        <w:tc>
          <w:tcPr>
            <w:tcW w:w="255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3132A" w:rsidRPr="005B1747" w:rsidRDefault="0053132A" w:rsidP="00156E32">
            <w:pPr>
              <w:spacing w:line="276" w:lineRule="auto"/>
              <w:jc w:val="center"/>
              <w:rPr>
                <w:b/>
                <w:bCs/>
                <w:color w:val="000000"/>
              </w:rPr>
            </w:pPr>
            <w:r w:rsidRPr="005B1747">
              <w:rPr>
                <w:b/>
                <w:bCs/>
                <w:color w:val="000000"/>
              </w:rPr>
              <w:t>Echantillon</w:t>
            </w:r>
          </w:p>
        </w:tc>
        <w:tc>
          <w:tcPr>
            <w:tcW w:w="192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b/>
                <w:bCs/>
                <w:color w:val="000000"/>
              </w:rPr>
            </w:pPr>
            <w:r w:rsidRPr="005B1747">
              <w:rPr>
                <w:b/>
                <w:bCs/>
                <w:color w:val="000000"/>
              </w:rPr>
              <w:t>Pourcentage</w:t>
            </w:r>
          </w:p>
        </w:tc>
      </w:tr>
      <w:tr w:rsidR="0053132A" w:rsidRPr="005B1747" w:rsidTr="00156E32">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3132A" w:rsidRPr="005B1747" w:rsidRDefault="0053132A" w:rsidP="006026FE">
            <w:pPr>
              <w:spacing w:line="276" w:lineRule="auto"/>
              <w:jc w:val="both"/>
              <w:rPr>
                <w:b/>
                <w:bCs/>
                <w:color w:val="000000"/>
              </w:rPr>
            </w:pPr>
            <w:r w:rsidRPr="005B1747">
              <w:rPr>
                <w:b/>
                <w:bCs/>
                <w:color w:val="000000"/>
              </w:rPr>
              <w:t> </w:t>
            </w:r>
          </w:p>
        </w:tc>
        <w:tc>
          <w:tcPr>
            <w:tcW w:w="993"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b/>
                <w:bCs/>
                <w:color w:val="000000"/>
              </w:rPr>
            </w:pPr>
            <w:r w:rsidRPr="005B1747">
              <w:rPr>
                <w:b/>
                <w:bCs/>
                <w:color w:val="000000"/>
              </w:rPr>
              <w:t>Nombre</w:t>
            </w:r>
          </w:p>
        </w:tc>
        <w:tc>
          <w:tcPr>
            <w:tcW w:w="1559"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b/>
                <w:bCs/>
                <w:color w:val="000000"/>
              </w:rPr>
            </w:pPr>
            <w:r w:rsidRPr="005B1747">
              <w:rPr>
                <w:b/>
                <w:bCs/>
                <w:color w:val="000000"/>
              </w:rPr>
              <w:t>Valeur</w:t>
            </w:r>
          </w:p>
        </w:tc>
        <w:tc>
          <w:tcPr>
            <w:tcW w:w="980"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b/>
                <w:bCs/>
                <w:color w:val="000000"/>
              </w:rPr>
            </w:pPr>
            <w:r w:rsidRPr="005B1747">
              <w:rPr>
                <w:b/>
                <w:bCs/>
                <w:color w:val="000000"/>
              </w:rPr>
              <w:t>Nombre</w:t>
            </w:r>
          </w:p>
        </w:tc>
        <w:tc>
          <w:tcPr>
            <w:tcW w:w="1571"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b/>
                <w:bCs/>
                <w:color w:val="000000"/>
              </w:rPr>
            </w:pPr>
            <w:r w:rsidRPr="005B1747">
              <w:rPr>
                <w:b/>
                <w:bCs/>
                <w:color w:val="000000"/>
              </w:rPr>
              <w:t>Valeur</w:t>
            </w:r>
          </w:p>
        </w:tc>
        <w:tc>
          <w:tcPr>
            <w:tcW w:w="1922" w:type="dxa"/>
            <w:gridSpan w:val="2"/>
            <w:vMerge/>
            <w:tcBorders>
              <w:top w:val="nil"/>
              <w:left w:val="nil"/>
              <w:bottom w:val="single" w:sz="4" w:space="0" w:color="auto"/>
              <w:right w:val="single" w:sz="4" w:space="0" w:color="auto"/>
            </w:tcBorders>
            <w:vAlign w:val="center"/>
            <w:hideMark/>
          </w:tcPr>
          <w:p w:rsidR="0053132A" w:rsidRPr="005B1747" w:rsidRDefault="0053132A" w:rsidP="00156E32">
            <w:pPr>
              <w:spacing w:line="276" w:lineRule="auto"/>
              <w:jc w:val="center"/>
              <w:rPr>
                <w:b/>
                <w:bCs/>
                <w:color w:val="000000"/>
              </w:rPr>
            </w:pPr>
          </w:p>
        </w:tc>
      </w:tr>
      <w:tr w:rsidR="0053132A" w:rsidRPr="005B1747" w:rsidTr="00156E32">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3132A" w:rsidRPr="005B1747" w:rsidRDefault="0053132A" w:rsidP="006026FE">
            <w:pPr>
              <w:spacing w:line="276" w:lineRule="auto"/>
              <w:jc w:val="both"/>
              <w:rPr>
                <w:color w:val="000000"/>
              </w:rPr>
            </w:pPr>
            <w:r w:rsidRPr="005B1747">
              <w:rPr>
                <w:color w:val="000000"/>
              </w:rPr>
              <w:t>AOI</w:t>
            </w:r>
          </w:p>
        </w:tc>
        <w:tc>
          <w:tcPr>
            <w:tcW w:w="993"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color w:val="000000"/>
              </w:rPr>
            </w:pPr>
            <w:r w:rsidRPr="005B1747">
              <w:rPr>
                <w:color w:val="000000"/>
              </w:rPr>
              <w:t>1</w:t>
            </w:r>
          </w:p>
        </w:tc>
        <w:tc>
          <w:tcPr>
            <w:tcW w:w="1559"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color w:val="000000"/>
              </w:rPr>
            </w:pPr>
            <w:r w:rsidRPr="005B1747">
              <w:rPr>
                <w:color w:val="000000"/>
              </w:rPr>
              <w:t>50 365 000</w:t>
            </w:r>
          </w:p>
        </w:tc>
        <w:tc>
          <w:tcPr>
            <w:tcW w:w="980"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color w:val="000000"/>
              </w:rPr>
            </w:pPr>
            <w:r w:rsidRPr="005B1747">
              <w:rPr>
                <w:color w:val="000000"/>
              </w:rPr>
              <w:t>1</w:t>
            </w:r>
          </w:p>
        </w:tc>
        <w:tc>
          <w:tcPr>
            <w:tcW w:w="1571"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color w:val="000000"/>
              </w:rPr>
            </w:pPr>
            <w:r w:rsidRPr="005B1747">
              <w:rPr>
                <w:color w:val="000000"/>
              </w:rPr>
              <w:t>50 365 000</w:t>
            </w:r>
          </w:p>
        </w:tc>
        <w:tc>
          <w:tcPr>
            <w:tcW w:w="993"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color w:val="000000"/>
              </w:rPr>
            </w:pPr>
            <w:r w:rsidRPr="005B1747">
              <w:rPr>
                <w:color w:val="000000"/>
                <w:sz w:val="22"/>
                <w:szCs w:val="22"/>
              </w:rPr>
              <w:t>100,00%</w:t>
            </w:r>
          </w:p>
        </w:tc>
        <w:tc>
          <w:tcPr>
            <w:tcW w:w="929"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color w:val="000000"/>
              </w:rPr>
            </w:pPr>
            <w:r w:rsidRPr="005B1747">
              <w:rPr>
                <w:color w:val="000000"/>
                <w:sz w:val="22"/>
                <w:szCs w:val="22"/>
              </w:rPr>
              <w:t>100,00%</w:t>
            </w:r>
          </w:p>
        </w:tc>
      </w:tr>
      <w:tr w:rsidR="0053132A" w:rsidRPr="009311F2" w:rsidTr="00156E32">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3132A" w:rsidRPr="009311F2" w:rsidRDefault="0053132A" w:rsidP="006026FE">
            <w:pPr>
              <w:spacing w:line="276" w:lineRule="auto"/>
              <w:jc w:val="both"/>
              <w:rPr>
                <w:color w:val="000000"/>
              </w:rPr>
            </w:pPr>
            <w:r w:rsidRPr="009311F2">
              <w:rPr>
                <w:color w:val="000000"/>
              </w:rPr>
              <w:t>AON</w:t>
            </w:r>
          </w:p>
        </w:tc>
        <w:tc>
          <w:tcPr>
            <w:tcW w:w="993" w:type="dxa"/>
            <w:tcBorders>
              <w:top w:val="nil"/>
              <w:left w:val="nil"/>
              <w:bottom w:val="single" w:sz="4" w:space="0" w:color="auto"/>
              <w:right w:val="single" w:sz="4"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23</w:t>
            </w:r>
          </w:p>
        </w:tc>
        <w:tc>
          <w:tcPr>
            <w:tcW w:w="1559" w:type="dxa"/>
            <w:tcBorders>
              <w:top w:val="nil"/>
              <w:left w:val="nil"/>
              <w:bottom w:val="single" w:sz="4" w:space="0" w:color="auto"/>
              <w:right w:val="single" w:sz="4"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1 135 530 507</w:t>
            </w:r>
          </w:p>
        </w:tc>
        <w:tc>
          <w:tcPr>
            <w:tcW w:w="980" w:type="dxa"/>
            <w:tcBorders>
              <w:top w:val="nil"/>
              <w:left w:val="nil"/>
              <w:bottom w:val="single" w:sz="4" w:space="0" w:color="auto"/>
              <w:right w:val="single" w:sz="4"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16</w:t>
            </w:r>
          </w:p>
        </w:tc>
        <w:tc>
          <w:tcPr>
            <w:tcW w:w="1571" w:type="dxa"/>
            <w:tcBorders>
              <w:top w:val="nil"/>
              <w:left w:val="nil"/>
              <w:bottom w:val="single" w:sz="4" w:space="0" w:color="auto"/>
              <w:right w:val="single" w:sz="4"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689 535 748</w:t>
            </w:r>
          </w:p>
        </w:tc>
        <w:tc>
          <w:tcPr>
            <w:tcW w:w="993" w:type="dxa"/>
            <w:tcBorders>
              <w:top w:val="nil"/>
              <w:left w:val="nil"/>
              <w:bottom w:val="single" w:sz="4" w:space="0" w:color="auto"/>
              <w:right w:val="single" w:sz="4"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sz w:val="22"/>
                <w:szCs w:val="22"/>
              </w:rPr>
              <w:t>70,83%</w:t>
            </w:r>
          </w:p>
        </w:tc>
        <w:tc>
          <w:tcPr>
            <w:tcW w:w="929" w:type="dxa"/>
            <w:tcBorders>
              <w:top w:val="nil"/>
              <w:left w:val="nil"/>
              <w:bottom w:val="single" w:sz="4" w:space="0" w:color="auto"/>
              <w:right w:val="single" w:sz="4"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sz w:val="22"/>
                <w:szCs w:val="22"/>
              </w:rPr>
              <w:t>60,72%</w:t>
            </w:r>
          </w:p>
        </w:tc>
      </w:tr>
      <w:tr w:rsidR="0053132A" w:rsidRPr="009311F2" w:rsidTr="00156E32">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3132A" w:rsidRPr="009311F2" w:rsidRDefault="0053132A" w:rsidP="006026FE">
            <w:pPr>
              <w:spacing w:line="276" w:lineRule="auto"/>
              <w:jc w:val="both"/>
              <w:rPr>
                <w:color w:val="000000"/>
              </w:rPr>
            </w:pPr>
            <w:r w:rsidRPr="009311F2">
              <w:rPr>
                <w:color w:val="000000"/>
              </w:rPr>
              <w:t>AOR</w:t>
            </w:r>
          </w:p>
        </w:tc>
        <w:tc>
          <w:tcPr>
            <w:tcW w:w="993" w:type="dxa"/>
            <w:tcBorders>
              <w:top w:val="nil"/>
              <w:left w:val="nil"/>
              <w:bottom w:val="single" w:sz="4" w:space="0" w:color="auto"/>
              <w:right w:val="single" w:sz="4"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1</w:t>
            </w:r>
          </w:p>
        </w:tc>
        <w:tc>
          <w:tcPr>
            <w:tcW w:w="1559" w:type="dxa"/>
            <w:tcBorders>
              <w:top w:val="nil"/>
              <w:left w:val="nil"/>
              <w:bottom w:val="single" w:sz="4" w:space="0" w:color="auto"/>
              <w:right w:val="single" w:sz="4"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24 452 120</w:t>
            </w:r>
          </w:p>
        </w:tc>
        <w:tc>
          <w:tcPr>
            <w:tcW w:w="980" w:type="dxa"/>
            <w:tcBorders>
              <w:top w:val="nil"/>
              <w:left w:val="nil"/>
              <w:bottom w:val="single" w:sz="4" w:space="0" w:color="auto"/>
              <w:right w:val="single" w:sz="4"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1</w:t>
            </w:r>
          </w:p>
        </w:tc>
        <w:tc>
          <w:tcPr>
            <w:tcW w:w="1571" w:type="dxa"/>
            <w:tcBorders>
              <w:top w:val="nil"/>
              <w:left w:val="nil"/>
              <w:bottom w:val="single" w:sz="4" w:space="0" w:color="auto"/>
              <w:right w:val="single" w:sz="4"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24 452 120</w:t>
            </w:r>
          </w:p>
        </w:tc>
        <w:tc>
          <w:tcPr>
            <w:tcW w:w="993" w:type="dxa"/>
            <w:tcBorders>
              <w:top w:val="nil"/>
              <w:left w:val="nil"/>
              <w:bottom w:val="single" w:sz="4" w:space="0" w:color="auto"/>
              <w:right w:val="single" w:sz="4"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sz w:val="22"/>
                <w:szCs w:val="22"/>
              </w:rPr>
              <w:t>100,00%</w:t>
            </w:r>
          </w:p>
        </w:tc>
        <w:tc>
          <w:tcPr>
            <w:tcW w:w="929" w:type="dxa"/>
            <w:tcBorders>
              <w:top w:val="nil"/>
              <w:left w:val="nil"/>
              <w:bottom w:val="single" w:sz="4" w:space="0" w:color="auto"/>
              <w:right w:val="single" w:sz="4"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sz w:val="22"/>
                <w:szCs w:val="22"/>
              </w:rPr>
              <w:t>100,00%</w:t>
            </w:r>
          </w:p>
        </w:tc>
      </w:tr>
      <w:tr w:rsidR="0053132A" w:rsidRPr="005B1747" w:rsidTr="00156E32">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3132A" w:rsidRPr="009311F2" w:rsidRDefault="0053132A" w:rsidP="006026FE">
            <w:pPr>
              <w:spacing w:line="276" w:lineRule="auto"/>
              <w:jc w:val="both"/>
              <w:rPr>
                <w:color w:val="000000"/>
              </w:rPr>
            </w:pPr>
            <w:r w:rsidRPr="009311F2">
              <w:rPr>
                <w:color w:val="000000"/>
              </w:rPr>
              <w:t>Entente directe</w:t>
            </w:r>
          </w:p>
        </w:tc>
        <w:tc>
          <w:tcPr>
            <w:tcW w:w="993" w:type="dxa"/>
            <w:tcBorders>
              <w:top w:val="nil"/>
              <w:left w:val="nil"/>
              <w:bottom w:val="single" w:sz="4" w:space="0" w:color="auto"/>
              <w:right w:val="single" w:sz="4"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11</w:t>
            </w:r>
          </w:p>
        </w:tc>
        <w:tc>
          <w:tcPr>
            <w:tcW w:w="1559" w:type="dxa"/>
            <w:tcBorders>
              <w:top w:val="nil"/>
              <w:left w:val="nil"/>
              <w:bottom w:val="single" w:sz="4" w:space="0" w:color="auto"/>
              <w:right w:val="single" w:sz="4"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623 855 625</w:t>
            </w:r>
          </w:p>
        </w:tc>
        <w:tc>
          <w:tcPr>
            <w:tcW w:w="980" w:type="dxa"/>
            <w:tcBorders>
              <w:top w:val="nil"/>
              <w:left w:val="nil"/>
              <w:bottom w:val="single" w:sz="4" w:space="0" w:color="auto"/>
              <w:right w:val="single" w:sz="4"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11</w:t>
            </w:r>
          </w:p>
        </w:tc>
        <w:tc>
          <w:tcPr>
            <w:tcW w:w="1571" w:type="dxa"/>
            <w:tcBorders>
              <w:top w:val="nil"/>
              <w:left w:val="nil"/>
              <w:bottom w:val="single" w:sz="4" w:space="0" w:color="auto"/>
              <w:right w:val="single" w:sz="4"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623 855 625</w:t>
            </w:r>
          </w:p>
        </w:tc>
        <w:tc>
          <w:tcPr>
            <w:tcW w:w="993" w:type="dxa"/>
            <w:tcBorders>
              <w:top w:val="nil"/>
              <w:left w:val="nil"/>
              <w:bottom w:val="single" w:sz="4" w:space="0" w:color="auto"/>
              <w:right w:val="single" w:sz="4"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sz w:val="22"/>
                <w:szCs w:val="22"/>
              </w:rPr>
              <w:t>100,00%</w:t>
            </w:r>
          </w:p>
        </w:tc>
        <w:tc>
          <w:tcPr>
            <w:tcW w:w="929"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color w:val="000000"/>
              </w:rPr>
            </w:pPr>
            <w:r w:rsidRPr="009311F2">
              <w:rPr>
                <w:color w:val="000000"/>
                <w:sz w:val="22"/>
                <w:szCs w:val="22"/>
              </w:rPr>
              <w:t>100,00%</w:t>
            </w:r>
          </w:p>
        </w:tc>
      </w:tr>
      <w:tr w:rsidR="0053132A" w:rsidRPr="005B1747" w:rsidTr="00156E32">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3132A" w:rsidRPr="005B1747" w:rsidRDefault="0053132A" w:rsidP="006026FE">
            <w:pPr>
              <w:spacing w:line="276" w:lineRule="auto"/>
              <w:jc w:val="both"/>
              <w:rPr>
                <w:color w:val="000000"/>
              </w:rPr>
            </w:pPr>
            <w:r w:rsidRPr="005B1747">
              <w:rPr>
                <w:color w:val="000000"/>
              </w:rPr>
              <w:t>CF</w:t>
            </w:r>
          </w:p>
        </w:tc>
        <w:tc>
          <w:tcPr>
            <w:tcW w:w="993"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color w:val="000000"/>
              </w:rPr>
            </w:pPr>
            <w:r w:rsidRPr="005B1747">
              <w:rPr>
                <w:color w:val="000000"/>
              </w:rPr>
              <w:t>3</w:t>
            </w:r>
          </w:p>
        </w:tc>
        <w:tc>
          <w:tcPr>
            <w:tcW w:w="1559"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color w:val="000000"/>
              </w:rPr>
            </w:pPr>
            <w:r w:rsidRPr="005B1747">
              <w:rPr>
                <w:color w:val="000000"/>
              </w:rPr>
              <w:t>61 961 751</w:t>
            </w:r>
          </w:p>
        </w:tc>
        <w:tc>
          <w:tcPr>
            <w:tcW w:w="980"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color w:val="000000"/>
              </w:rPr>
            </w:pPr>
            <w:r w:rsidRPr="005B1747">
              <w:rPr>
                <w:color w:val="000000"/>
              </w:rPr>
              <w:t>3</w:t>
            </w:r>
          </w:p>
        </w:tc>
        <w:tc>
          <w:tcPr>
            <w:tcW w:w="1571"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color w:val="000000"/>
              </w:rPr>
            </w:pPr>
            <w:r w:rsidRPr="005B1747">
              <w:rPr>
                <w:color w:val="000000"/>
              </w:rPr>
              <w:t>61 961 751</w:t>
            </w:r>
          </w:p>
        </w:tc>
        <w:tc>
          <w:tcPr>
            <w:tcW w:w="993"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color w:val="000000"/>
              </w:rPr>
            </w:pPr>
            <w:r w:rsidRPr="005B1747">
              <w:rPr>
                <w:color w:val="000000"/>
                <w:sz w:val="22"/>
                <w:szCs w:val="22"/>
              </w:rPr>
              <w:t>100,00%</w:t>
            </w:r>
          </w:p>
        </w:tc>
        <w:tc>
          <w:tcPr>
            <w:tcW w:w="929"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color w:val="000000"/>
              </w:rPr>
            </w:pPr>
            <w:r w:rsidRPr="005B1747">
              <w:rPr>
                <w:color w:val="000000"/>
                <w:sz w:val="22"/>
                <w:szCs w:val="22"/>
              </w:rPr>
              <w:t>100,00%</w:t>
            </w:r>
          </w:p>
        </w:tc>
      </w:tr>
      <w:tr w:rsidR="0053132A" w:rsidRPr="005B1747" w:rsidTr="00156E32">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3132A" w:rsidRPr="005B1747" w:rsidRDefault="0053132A" w:rsidP="006026FE">
            <w:pPr>
              <w:spacing w:line="276" w:lineRule="auto"/>
              <w:jc w:val="both"/>
              <w:rPr>
                <w:color w:val="000000"/>
              </w:rPr>
            </w:pPr>
            <w:r w:rsidRPr="005B1747">
              <w:rPr>
                <w:color w:val="000000"/>
              </w:rPr>
              <w:t>SF</w:t>
            </w:r>
          </w:p>
        </w:tc>
        <w:tc>
          <w:tcPr>
            <w:tcW w:w="993"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color w:val="000000"/>
              </w:rPr>
            </w:pPr>
            <w:r w:rsidRPr="005B1747">
              <w:rPr>
                <w:color w:val="000000"/>
              </w:rPr>
              <w:t>30</w:t>
            </w:r>
          </w:p>
        </w:tc>
        <w:tc>
          <w:tcPr>
            <w:tcW w:w="1559"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color w:val="000000"/>
              </w:rPr>
            </w:pPr>
            <w:r w:rsidRPr="005B1747">
              <w:rPr>
                <w:color w:val="000000"/>
              </w:rPr>
              <w:t>720 623 437</w:t>
            </w:r>
          </w:p>
        </w:tc>
        <w:tc>
          <w:tcPr>
            <w:tcW w:w="980"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color w:val="000000"/>
              </w:rPr>
            </w:pPr>
            <w:r w:rsidRPr="005B1747">
              <w:rPr>
                <w:color w:val="000000"/>
              </w:rPr>
              <w:t>18</w:t>
            </w:r>
          </w:p>
        </w:tc>
        <w:tc>
          <w:tcPr>
            <w:tcW w:w="1571"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color w:val="000000"/>
              </w:rPr>
            </w:pPr>
            <w:r w:rsidRPr="005B1747">
              <w:rPr>
                <w:color w:val="000000"/>
              </w:rPr>
              <w:t>524 272 908</w:t>
            </w:r>
          </w:p>
        </w:tc>
        <w:tc>
          <w:tcPr>
            <w:tcW w:w="993"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color w:val="000000"/>
              </w:rPr>
            </w:pPr>
            <w:r w:rsidRPr="005B1747">
              <w:rPr>
                <w:color w:val="000000"/>
                <w:sz w:val="22"/>
                <w:szCs w:val="22"/>
              </w:rPr>
              <w:t>60,00%</w:t>
            </w:r>
          </w:p>
        </w:tc>
        <w:tc>
          <w:tcPr>
            <w:tcW w:w="929"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color w:val="000000"/>
              </w:rPr>
            </w:pPr>
            <w:r w:rsidRPr="005B1747">
              <w:rPr>
                <w:color w:val="000000"/>
                <w:sz w:val="22"/>
                <w:szCs w:val="22"/>
              </w:rPr>
              <w:t>72,75%</w:t>
            </w:r>
          </w:p>
        </w:tc>
      </w:tr>
      <w:tr w:rsidR="0053132A" w:rsidRPr="005B1747" w:rsidTr="00156E32">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3132A" w:rsidRPr="005B1747" w:rsidRDefault="0053132A" w:rsidP="006026FE">
            <w:pPr>
              <w:spacing w:line="276" w:lineRule="auto"/>
              <w:jc w:val="both"/>
              <w:rPr>
                <w:b/>
                <w:bCs/>
                <w:color w:val="000000"/>
              </w:rPr>
            </w:pPr>
            <w:r w:rsidRPr="005B1747">
              <w:rPr>
                <w:b/>
                <w:bCs/>
                <w:color w:val="000000"/>
              </w:rPr>
              <w:t>TOTAL</w:t>
            </w:r>
          </w:p>
        </w:tc>
        <w:tc>
          <w:tcPr>
            <w:tcW w:w="993"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b/>
                <w:bCs/>
                <w:color w:val="000000"/>
              </w:rPr>
            </w:pPr>
            <w:r w:rsidRPr="005B1747">
              <w:rPr>
                <w:b/>
                <w:bCs/>
                <w:color w:val="000000"/>
              </w:rPr>
              <w:t>69</w:t>
            </w:r>
          </w:p>
        </w:tc>
        <w:tc>
          <w:tcPr>
            <w:tcW w:w="1559"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b/>
                <w:bCs/>
                <w:color w:val="000000"/>
              </w:rPr>
            </w:pPr>
            <w:r w:rsidRPr="005B1747">
              <w:rPr>
                <w:b/>
                <w:bCs/>
                <w:color w:val="000000"/>
              </w:rPr>
              <w:t>2 616 788 440</w:t>
            </w:r>
          </w:p>
        </w:tc>
        <w:tc>
          <w:tcPr>
            <w:tcW w:w="980"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b/>
                <w:bCs/>
                <w:color w:val="000000"/>
              </w:rPr>
            </w:pPr>
            <w:r w:rsidRPr="005B1747">
              <w:rPr>
                <w:b/>
                <w:bCs/>
                <w:color w:val="000000"/>
              </w:rPr>
              <w:t>50</w:t>
            </w:r>
          </w:p>
        </w:tc>
        <w:tc>
          <w:tcPr>
            <w:tcW w:w="1571"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b/>
                <w:bCs/>
                <w:color w:val="000000"/>
              </w:rPr>
            </w:pPr>
            <w:r w:rsidRPr="005B1747">
              <w:rPr>
                <w:b/>
                <w:bCs/>
                <w:color w:val="000000"/>
              </w:rPr>
              <w:t>1 974 443 152</w:t>
            </w:r>
          </w:p>
        </w:tc>
        <w:tc>
          <w:tcPr>
            <w:tcW w:w="993"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b/>
                <w:bCs/>
                <w:color w:val="000000"/>
              </w:rPr>
            </w:pPr>
            <w:r w:rsidRPr="005B1747">
              <w:rPr>
                <w:b/>
                <w:bCs/>
                <w:color w:val="000000"/>
                <w:sz w:val="22"/>
                <w:szCs w:val="22"/>
              </w:rPr>
              <w:t>72,46%</w:t>
            </w:r>
          </w:p>
        </w:tc>
        <w:tc>
          <w:tcPr>
            <w:tcW w:w="929" w:type="dxa"/>
            <w:tcBorders>
              <w:top w:val="nil"/>
              <w:left w:val="nil"/>
              <w:bottom w:val="single" w:sz="4" w:space="0" w:color="auto"/>
              <w:right w:val="single" w:sz="4" w:space="0" w:color="auto"/>
            </w:tcBorders>
            <w:shd w:val="clear" w:color="auto" w:fill="auto"/>
            <w:noWrap/>
            <w:vAlign w:val="center"/>
            <w:hideMark/>
          </w:tcPr>
          <w:p w:rsidR="0053132A" w:rsidRPr="005B1747" w:rsidRDefault="0053132A" w:rsidP="00156E32">
            <w:pPr>
              <w:spacing w:line="276" w:lineRule="auto"/>
              <w:jc w:val="center"/>
              <w:rPr>
                <w:b/>
                <w:bCs/>
                <w:color w:val="000000"/>
              </w:rPr>
            </w:pPr>
            <w:r w:rsidRPr="005B1747">
              <w:rPr>
                <w:b/>
                <w:bCs/>
                <w:color w:val="000000"/>
                <w:sz w:val="22"/>
                <w:szCs w:val="22"/>
              </w:rPr>
              <w:t>75,45%</w:t>
            </w:r>
          </w:p>
        </w:tc>
      </w:tr>
    </w:tbl>
    <w:p w:rsidR="0053132A" w:rsidRDefault="0053132A" w:rsidP="006026FE">
      <w:pPr>
        <w:pStyle w:val="Paragraphedeliste"/>
        <w:autoSpaceDE w:val="0"/>
        <w:autoSpaceDN w:val="0"/>
        <w:adjustRightInd w:val="0"/>
        <w:spacing w:line="276" w:lineRule="auto"/>
        <w:ind w:left="360"/>
        <w:jc w:val="both"/>
      </w:pPr>
    </w:p>
    <w:p w:rsidR="0053132A" w:rsidRPr="00C16F5C" w:rsidRDefault="0053132A" w:rsidP="006026FE">
      <w:pPr>
        <w:autoSpaceDE w:val="0"/>
        <w:autoSpaceDN w:val="0"/>
        <w:adjustRightInd w:val="0"/>
        <w:spacing w:line="276" w:lineRule="auto"/>
        <w:jc w:val="both"/>
        <w:rPr>
          <w:rFonts w:eastAsiaTheme="minorHAnsi"/>
          <w:b/>
          <w:lang w:eastAsia="en-US"/>
        </w:rPr>
      </w:pPr>
      <w:r>
        <w:rPr>
          <w:rFonts w:eastAsiaTheme="minorHAnsi"/>
          <w:b/>
          <w:lang w:eastAsia="en-US"/>
        </w:rPr>
        <w:t>4.2.1.</w:t>
      </w:r>
      <w:r w:rsidR="00353CCF">
        <w:rPr>
          <w:rFonts w:eastAsiaTheme="minorHAnsi"/>
          <w:b/>
          <w:lang w:eastAsia="en-US"/>
        </w:rPr>
        <w:t>4</w:t>
      </w:r>
      <w:r w:rsidRPr="00C16F5C">
        <w:rPr>
          <w:rFonts w:eastAsiaTheme="minorHAnsi"/>
          <w:b/>
          <w:lang w:eastAsia="en-US"/>
        </w:rPr>
        <w:t xml:space="preserve"> Echantillon des marchés publics du lot 2</w:t>
      </w:r>
    </w:p>
    <w:p w:rsidR="0053132A" w:rsidRPr="00BB2E26" w:rsidRDefault="0053132A" w:rsidP="006026FE">
      <w:pPr>
        <w:autoSpaceDE w:val="0"/>
        <w:autoSpaceDN w:val="0"/>
        <w:adjustRightInd w:val="0"/>
        <w:spacing w:line="276" w:lineRule="auto"/>
        <w:jc w:val="both"/>
        <w:rPr>
          <w:rFonts w:eastAsiaTheme="minorHAnsi"/>
          <w:lang w:eastAsia="en-US"/>
        </w:rPr>
      </w:pPr>
      <w:r>
        <w:rPr>
          <w:rFonts w:eastAsiaTheme="minorHAnsi"/>
          <w:lang w:eastAsia="en-US"/>
        </w:rPr>
        <w:t>En récapitulant</w:t>
      </w:r>
      <w:r w:rsidR="002D5A4A">
        <w:rPr>
          <w:rFonts w:eastAsiaTheme="minorHAnsi"/>
          <w:lang w:eastAsia="en-US"/>
        </w:rPr>
        <w:t xml:space="preserve"> </w:t>
      </w:r>
      <w:r>
        <w:rPr>
          <w:rFonts w:eastAsiaTheme="minorHAnsi"/>
          <w:lang w:eastAsia="en-US"/>
        </w:rPr>
        <w:t xml:space="preserve">les marchés publics sélectionnés aux points </w:t>
      </w:r>
      <w:r w:rsidR="00353CCF">
        <w:rPr>
          <w:rFonts w:eastAsiaTheme="minorHAnsi"/>
          <w:lang w:eastAsia="en-US"/>
        </w:rPr>
        <w:t>4.2.1.1</w:t>
      </w:r>
      <w:r>
        <w:rPr>
          <w:rFonts w:eastAsiaTheme="minorHAnsi"/>
          <w:lang w:eastAsia="en-US"/>
        </w:rPr>
        <w:t xml:space="preserve"> à </w:t>
      </w:r>
      <w:r w:rsidR="00353CCF">
        <w:rPr>
          <w:rFonts w:eastAsiaTheme="minorHAnsi"/>
          <w:lang w:eastAsia="en-US"/>
        </w:rPr>
        <w:t>4.2.</w:t>
      </w:r>
      <w:r>
        <w:rPr>
          <w:rFonts w:eastAsiaTheme="minorHAnsi"/>
          <w:lang w:eastAsia="en-US"/>
        </w:rPr>
        <w:t>1.4 ci-dessus l’</w:t>
      </w:r>
      <w:r>
        <w:t>échantillon du lot 2 se répartit par mode de passation comme suit :</w:t>
      </w:r>
      <w:r w:rsidRPr="00C16F5C">
        <w:rPr>
          <w:rFonts w:eastAsiaTheme="minorHAnsi"/>
          <w:lang w:eastAsia="en-US"/>
        </w:rPr>
        <w:t> </w:t>
      </w:r>
    </w:p>
    <w:tbl>
      <w:tblPr>
        <w:tblW w:w="9434" w:type="dxa"/>
        <w:tblInd w:w="70" w:type="dxa"/>
        <w:tblCellMar>
          <w:left w:w="70" w:type="dxa"/>
          <w:right w:w="70" w:type="dxa"/>
        </w:tblCellMar>
        <w:tblLook w:val="04A0" w:firstRow="1" w:lastRow="0" w:firstColumn="1" w:lastColumn="0" w:noHBand="0" w:noVBand="1"/>
      </w:tblPr>
      <w:tblGrid>
        <w:gridCol w:w="1843"/>
        <w:gridCol w:w="992"/>
        <w:gridCol w:w="2127"/>
        <w:gridCol w:w="980"/>
        <w:gridCol w:w="1713"/>
        <w:gridCol w:w="929"/>
        <w:gridCol w:w="929"/>
      </w:tblGrid>
      <w:tr w:rsidR="0053132A" w:rsidRPr="009311F2" w:rsidTr="00156E32">
        <w:trPr>
          <w:trHeight w:val="33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3132A" w:rsidRPr="009311F2" w:rsidRDefault="0053132A" w:rsidP="006026FE">
            <w:pPr>
              <w:spacing w:line="276" w:lineRule="auto"/>
              <w:jc w:val="both"/>
              <w:rPr>
                <w:b/>
                <w:bCs/>
                <w:color w:val="000000"/>
              </w:rPr>
            </w:pPr>
            <w:r w:rsidRPr="009311F2">
              <w:rPr>
                <w:b/>
                <w:bCs/>
                <w:color w:val="000000"/>
              </w:rPr>
              <w:t>Mode de passation</w:t>
            </w:r>
          </w:p>
        </w:tc>
        <w:tc>
          <w:tcPr>
            <w:tcW w:w="311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53132A" w:rsidRPr="009311F2" w:rsidRDefault="0053132A" w:rsidP="00156E32">
            <w:pPr>
              <w:spacing w:line="276" w:lineRule="auto"/>
              <w:jc w:val="center"/>
              <w:rPr>
                <w:b/>
                <w:bCs/>
                <w:color w:val="000000"/>
              </w:rPr>
            </w:pPr>
            <w:r w:rsidRPr="009311F2">
              <w:rPr>
                <w:b/>
                <w:bCs/>
                <w:color w:val="000000"/>
              </w:rPr>
              <w:t>Population</w:t>
            </w:r>
          </w:p>
        </w:tc>
        <w:tc>
          <w:tcPr>
            <w:tcW w:w="269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53132A" w:rsidRPr="009311F2" w:rsidRDefault="0053132A" w:rsidP="00156E32">
            <w:pPr>
              <w:spacing w:line="276" w:lineRule="auto"/>
              <w:jc w:val="center"/>
              <w:rPr>
                <w:b/>
                <w:bCs/>
                <w:color w:val="000000"/>
              </w:rPr>
            </w:pPr>
            <w:r w:rsidRPr="009311F2">
              <w:rPr>
                <w:b/>
                <w:bCs/>
                <w:color w:val="000000"/>
              </w:rPr>
              <w:t>Echantillon</w:t>
            </w:r>
          </w:p>
        </w:tc>
        <w:tc>
          <w:tcPr>
            <w:tcW w:w="1779" w:type="dxa"/>
            <w:gridSpan w:val="2"/>
            <w:vMerge w:val="restart"/>
            <w:tcBorders>
              <w:top w:val="single" w:sz="8" w:space="0" w:color="auto"/>
              <w:left w:val="nil"/>
              <w:bottom w:val="single" w:sz="8" w:space="0" w:color="000000"/>
              <w:right w:val="single" w:sz="8" w:space="0" w:color="000000"/>
            </w:tcBorders>
            <w:shd w:val="clear" w:color="auto" w:fill="auto"/>
            <w:noWrap/>
            <w:vAlign w:val="center"/>
            <w:hideMark/>
          </w:tcPr>
          <w:p w:rsidR="0053132A" w:rsidRPr="009311F2" w:rsidRDefault="0053132A" w:rsidP="00156E32">
            <w:pPr>
              <w:spacing w:line="276" w:lineRule="auto"/>
              <w:jc w:val="center"/>
              <w:rPr>
                <w:b/>
                <w:bCs/>
                <w:color w:val="000000"/>
              </w:rPr>
            </w:pPr>
            <w:r w:rsidRPr="009311F2">
              <w:rPr>
                <w:b/>
                <w:bCs/>
                <w:color w:val="000000"/>
              </w:rPr>
              <w:t>Pourcentage</w:t>
            </w:r>
          </w:p>
        </w:tc>
      </w:tr>
      <w:tr w:rsidR="0053132A" w:rsidRPr="009311F2" w:rsidTr="00156E32">
        <w:trPr>
          <w:trHeight w:val="330"/>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53132A" w:rsidRPr="009311F2" w:rsidRDefault="0053132A" w:rsidP="006026FE">
            <w:pPr>
              <w:spacing w:line="276" w:lineRule="auto"/>
              <w:jc w:val="both"/>
              <w:rPr>
                <w:b/>
                <w:bCs/>
                <w:color w:val="000000"/>
              </w:rPr>
            </w:pPr>
            <w:r w:rsidRPr="009311F2">
              <w:rPr>
                <w:b/>
                <w:bCs/>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b/>
                <w:bCs/>
                <w:color w:val="000000"/>
              </w:rPr>
            </w:pPr>
            <w:r w:rsidRPr="009311F2">
              <w:rPr>
                <w:b/>
                <w:bCs/>
                <w:color w:val="000000"/>
              </w:rPr>
              <w:t>Nombre</w:t>
            </w:r>
          </w:p>
        </w:tc>
        <w:tc>
          <w:tcPr>
            <w:tcW w:w="2127"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b/>
                <w:bCs/>
                <w:color w:val="000000"/>
              </w:rPr>
            </w:pPr>
            <w:r w:rsidRPr="009311F2">
              <w:rPr>
                <w:b/>
                <w:bCs/>
                <w:color w:val="000000"/>
              </w:rPr>
              <w:t>Valeur</w:t>
            </w:r>
          </w:p>
        </w:tc>
        <w:tc>
          <w:tcPr>
            <w:tcW w:w="980"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b/>
                <w:bCs/>
                <w:color w:val="000000"/>
              </w:rPr>
            </w:pPr>
            <w:r w:rsidRPr="009311F2">
              <w:rPr>
                <w:b/>
                <w:bCs/>
                <w:color w:val="000000"/>
              </w:rPr>
              <w:t>Nombre</w:t>
            </w:r>
          </w:p>
        </w:tc>
        <w:tc>
          <w:tcPr>
            <w:tcW w:w="1713"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b/>
                <w:bCs/>
                <w:color w:val="000000"/>
              </w:rPr>
            </w:pPr>
            <w:r w:rsidRPr="009311F2">
              <w:rPr>
                <w:b/>
                <w:bCs/>
                <w:color w:val="000000"/>
              </w:rPr>
              <w:t>Valeur</w:t>
            </w:r>
          </w:p>
        </w:tc>
        <w:tc>
          <w:tcPr>
            <w:tcW w:w="1779" w:type="dxa"/>
            <w:gridSpan w:val="2"/>
            <w:vMerge/>
            <w:tcBorders>
              <w:top w:val="nil"/>
              <w:left w:val="nil"/>
              <w:bottom w:val="single" w:sz="8" w:space="0" w:color="auto"/>
              <w:right w:val="single" w:sz="8" w:space="0" w:color="auto"/>
            </w:tcBorders>
            <w:vAlign w:val="center"/>
            <w:hideMark/>
          </w:tcPr>
          <w:p w:rsidR="0053132A" w:rsidRPr="009311F2" w:rsidRDefault="0053132A" w:rsidP="00156E32">
            <w:pPr>
              <w:spacing w:line="276" w:lineRule="auto"/>
              <w:jc w:val="center"/>
              <w:rPr>
                <w:b/>
                <w:bCs/>
                <w:color w:val="000000"/>
              </w:rPr>
            </w:pPr>
          </w:p>
        </w:tc>
      </w:tr>
      <w:tr w:rsidR="0053132A" w:rsidRPr="009311F2" w:rsidTr="00156E32">
        <w:trPr>
          <w:trHeight w:val="330"/>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53132A" w:rsidRPr="009311F2" w:rsidRDefault="0053132A" w:rsidP="006026FE">
            <w:pPr>
              <w:spacing w:line="276" w:lineRule="auto"/>
              <w:jc w:val="both"/>
              <w:rPr>
                <w:color w:val="000000"/>
              </w:rPr>
            </w:pPr>
            <w:r w:rsidRPr="009311F2">
              <w:rPr>
                <w:color w:val="000000"/>
              </w:rPr>
              <w:t>AOI</w:t>
            </w:r>
          </w:p>
        </w:tc>
        <w:tc>
          <w:tcPr>
            <w:tcW w:w="992"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14</w:t>
            </w:r>
          </w:p>
        </w:tc>
        <w:tc>
          <w:tcPr>
            <w:tcW w:w="2127"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34 944 836 209</w:t>
            </w:r>
          </w:p>
        </w:tc>
        <w:tc>
          <w:tcPr>
            <w:tcW w:w="980"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14</w:t>
            </w:r>
          </w:p>
        </w:tc>
        <w:tc>
          <w:tcPr>
            <w:tcW w:w="1713"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34 944 836 209</w:t>
            </w:r>
          </w:p>
        </w:tc>
        <w:tc>
          <w:tcPr>
            <w:tcW w:w="850"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sz w:val="22"/>
                <w:szCs w:val="22"/>
              </w:rPr>
              <w:t>100,00%</w:t>
            </w:r>
          </w:p>
        </w:tc>
        <w:tc>
          <w:tcPr>
            <w:tcW w:w="929"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sz w:val="22"/>
                <w:szCs w:val="22"/>
              </w:rPr>
              <w:t>100,00%</w:t>
            </w:r>
          </w:p>
        </w:tc>
      </w:tr>
      <w:tr w:rsidR="0053132A" w:rsidRPr="009311F2" w:rsidTr="00156E32">
        <w:trPr>
          <w:trHeight w:val="330"/>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53132A" w:rsidRPr="009311F2" w:rsidRDefault="0053132A" w:rsidP="006026FE">
            <w:pPr>
              <w:spacing w:line="276" w:lineRule="auto"/>
              <w:jc w:val="both"/>
              <w:rPr>
                <w:color w:val="000000"/>
              </w:rPr>
            </w:pPr>
            <w:r w:rsidRPr="009311F2">
              <w:rPr>
                <w:color w:val="000000"/>
              </w:rPr>
              <w:t>AON</w:t>
            </w:r>
          </w:p>
        </w:tc>
        <w:tc>
          <w:tcPr>
            <w:tcW w:w="992"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65</w:t>
            </w:r>
          </w:p>
        </w:tc>
        <w:tc>
          <w:tcPr>
            <w:tcW w:w="2127"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15 723 087 820</w:t>
            </w:r>
          </w:p>
        </w:tc>
        <w:tc>
          <w:tcPr>
            <w:tcW w:w="980"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58</w:t>
            </w:r>
          </w:p>
        </w:tc>
        <w:tc>
          <w:tcPr>
            <w:tcW w:w="1713"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15 154 833 370</w:t>
            </w:r>
          </w:p>
        </w:tc>
        <w:tc>
          <w:tcPr>
            <w:tcW w:w="850"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sz w:val="22"/>
                <w:szCs w:val="22"/>
              </w:rPr>
              <w:t>89,23%</w:t>
            </w:r>
          </w:p>
        </w:tc>
        <w:tc>
          <w:tcPr>
            <w:tcW w:w="929"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sz w:val="22"/>
                <w:szCs w:val="22"/>
              </w:rPr>
              <w:t>96,39%</w:t>
            </w:r>
          </w:p>
        </w:tc>
      </w:tr>
      <w:tr w:rsidR="0053132A" w:rsidRPr="009311F2" w:rsidTr="00156E32">
        <w:trPr>
          <w:trHeight w:val="330"/>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53132A" w:rsidRPr="009311F2" w:rsidRDefault="0053132A" w:rsidP="006026FE">
            <w:pPr>
              <w:spacing w:line="276" w:lineRule="auto"/>
              <w:jc w:val="both"/>
              <w:rPr>
                <w:color w:val="000000"/>
              </w:rPr>
            </w:pPr>
            <w:r w:rsidRPr="009311F2">
              <w:rPr>
                <w:color w:val="000000"/>
              </w:rPr>
              <w:t>AOR</w:t>
            </w:r>
          </w:p>
        </w:tc>
        <w:tc>
          <w:tcPr>
            <w:tcW w:w="992"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5</w:t>
            </w:r>
          </w:p>
        </w:tc>
        <w:tc>
          <w:tcPr>
            <w:tcW w:w="2127"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1 674 215 401</w:t>
            </w:r>
          </w:p>
        </w:tc>
        <w:tc>
          <w:tcPr>
            <w:tcW w:w="980"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5</w:t>
            </w:r>
          </w:p>
        </w:tc>
        <w:tc>
          <w:tcPr>
            <w:tcW w:w="1713"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1 674 215 401</w:t>
            </w:r>
          </w:p>
        </w:tc>
        <w:tc>
          <w:tcPr>
            <w:tcW w:w="850"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sz w:val="22"/>
                <w:szCs w:val="22"/>
              </w:rPr>
              <w:t>100,00%</w:t>
            </w:r>
          </w:p>
        </w:tc>
        <w:tc>
          <w:tcPr>
            <w:tcW w:w="929"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sz w:val="22"/>
                <w:szCs w:val="22"/>
              </w:rPr>
              <w:t>100,00%</w:t>
            </w:r>
          </w:p>
        </w:tc>
      </w:tr>
      <w:tr w:rsidR="0053132A" w:rsidRPr="009311F2" w:rsidTr="00156E32">
        <w:trPr>
          <w:trHeight w:val="330"/>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53132A" w:rsidRPr="009311F2" w:rsidRDefault="0053132A" w:rsidP="006026FE">
            <w:pPr>
              <w:spacing w:line="276" w:lineRule="auto"/>
              <w:jc w:val="both"/>
              <w:rPr>
                <w:color w:val="000000"/>
              </w:rPr>
            </w:pPr>
            <w:r w:rsidRPr="009311F2">
              <w:rPr>
                <w:color w:val="000000"/>
              </w:rPr>
              <w:t>Entente directe</w:t>
            </w:r>
          </w:p>
        </w:tc>
        <w:tc>
          <w:tcPr>
            <w:tcW w:w="992"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33</w:t>
            </w:r>
          </w:p>
        </w:tc>
        <w:tc>
          <w:tcPr>
            <w:tcW w:w="2127"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3 620 557 575</w:t>
            </w:r>
          </w:p>
        </w:tc>
        <w:tc>
          <w:tcPr>
            <w:tcW w:w="980"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33</w:t>
            </w:r>
          </w:p>
        </w:tc>
        <w:tc>
          <w:tcPr>
            <w:tcW w:w="1713"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3 620 557 575</w:t>
            </w:r>
          </w:p>
        </w:tc>
        <w:tc>
          <w:tcPr>
            <w:tcW w:w="850"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sz w:val="22"/>
                <w:szCs w:val="22"/>
              </w:rPr>
              <w:t>100,00%</w:t>
            </w:r>
          </w:p>
        </w:tc>
        <w:tc>
          <w:tcPr>
            <w:tcW w:w="929"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sz w:val="22"/>
                <w:szCs w:val="22"/>
              </w:rPr>
              <w:t>100,00%</w:t>
            </w:r>
          </w:p>
        </w:tc>
      </w:tr>
      <w:tr w:rsidR="0053132A" w:rsidRPr="009311F2" w:rsidTr="00156E32">
        <w:trPr>
          <w:trHeight w:val="330"/>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53132A" w:rsidRPr="009311F2" w:rsidRDefault="0053132A" w:rsidP="006026FE">
            <w:pPr>
              <w:spacing w:line="276" w:lineRule="auto"/>
              <w:jc w:val="both"/>
              <w:rPr>
                <w:color w:val="000000"/>
              </w:rPr>
            </w:pPr>
            <w:r w:rsidRPr="009311F2">
              <w:rPr>
                <w:color w:val="000000"/>
              </w:rPr>
              <w:t>CF</w:t>
            </w:r>
          </w:p>
        </w:tc>
        <w:tc>
          <w:tcPr>
            <w:tcW w:w="992"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3</w:t>
            </w:r>
          </w:p>
        </w:tc>
        <w:tc>
          <w:tcPr>
            <w:tcW w:w="2127"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61 961 751</w:t>
            </w:r>
          </w:p>
        </w:tc>
        <w:tc>
          <w:tcPr>
            <w:tcW w:w="980"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3</w:t>
            </w:r>
          </w:p>
        </w:tc>
        <w:tc>
          <w:tcPr>
            <w:tcW w:w="1713"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61 961 751</w:t>
            </w:r>
          </w:p>
        </w:tc>
        <w:tc>
          <w:tcPr>
            <w:tcW w:w="850"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sz w:val="22"/>
                <w:szCs w:val="22"/>
              </w:rPr>
              <w:t>100,00%</w:t>
            </w:r>
          </w:p>
        </w:tc>
        <w:tc>
          <w:tcPr>
            <w:tcW w:w="929"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sz w:val="22"/>
                <w:szCs w:val="22"/>
              </w:rPr>
              <w:t>100,00%</w:t>
            </w:r>
          </w:p>
        </w:tc>
      </w:tr>
      <w:tr w:rsidR="0053132A" w:rsidRPr="009311F2" w:rsidTr="00156E32">
        <w:trPr>
          <w:trHeight w:val="330"/>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53132A" w:rsidRPr="009311F2" w:rsidRDefault="0053132A" w:rsidP="006026FE">
            <w:pPr>
              <w:spacing w:line="276" w:lineRule="auto"/>
              <w:jc w:val="both"/>
              <w:rPr>
                <w:color w:val="000000"/>
              </w:rPr>
            </w:pPr>
            <w:r w:rsidRPr="009311F2">
              <w:rPr>
                <w:color w:val="000000"/>
              </w:rPr>
              <w:t>SF</w:t>
            </w:r>
          </w:p>
        </w:tc>
        <w:tc>
          <w:tcPr>
            <w:tcW w:w="992"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30</w:t>
            </w:r>
          </w:p>
        </w:tc>
        <w:tc>
          <w:tcPr>
            <w:tcW w:w="2127"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720 623 437</w:t>
            </w:r>
          </w:p>
        </w:tc>
        <w:tc>
          <w:tcPr>
            <w:tcW w:w="980"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18</w:t>
            </w:r>
          </w:p>
        </w:tc>
        <w:tc>
          <w:tcPr>
            <w:tcW w:w="1713"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rPr>
              <w:t>574 254 098</w:t>
            </w:r>
          </w:p>
        </w:tc>
        <w:tc>
          <w:tcPr>
            <w:tcW w:w="850"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sz w:val="22"/>
                <w:szCs w:val="22"/>
              </w:rPr>
              <w:t>60,00%</w:t>
            </w:r>
          </w:p>
        </w:tc>
        <w:tc>
          <w:tcPr>
            <w:tcW w:w="929"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color w:val="000000"/>
              </w:rPr>
            </w:pPr>
            <w:r w:rsidRPr="009311F2">
              <w:rPr>
                <w:color w:val="000000"/>
                <w:sz w:val="22"/>
                <w:szCs w:val="22"/>
              </w:rPr>
              <w:t>79,69%</w:t>
            </w:r>
          </w:p>
        </w:tc>
      </w:tr>
      <w:tr w:rsidR="0053132A" w:rsidRPr="009311F2" w:rsidTr="00156E32">
        <w:trPr>
          <w:trHeight w:val="330"/>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53132A" w:rsidRPr="009311F2" w:rsidRDefault="0053132A" w:rsidP="006026FE">
            <w:pPr>
              <w:spacing w:line="276" w:lineRule="auto"/>
              <w:jc w:val="both"/>
              <w:rPr>
                <w:b/>
                <w:bCs/>
                <w:color w:val="000000"/>
              </w:rPr>
            </w:pPr>
            <w:r w:rsidRPr="009311F2">
              <w:rPr>
                <w:b/>
                <w:bCs/>
                <w:color w:val="000000"/>
              </w:rPr>
              <w:t>TOTAL</w:t>
            </w:r>
          </w:p>
        </w:tc>
        <w:tc>
          <w:tcPr>
            <w:tcW w:w="992"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b/>
                <w:bCs/>
                <w:color w:val="000000"/>
              </w:rPr>
            </w:pPr>
            <w:r w:rsidRPr="009311F2">
              <w:rPr>
                <w:b/>
                <w:bCs/>
                <w:color w:val="000000"/>
              </w:rPr>
              <w:t>150</w:t>
            </w:r>
          </w:p>
        </w:tc>
        <w:tc>
          <w:tcPr>
            <w:tcW w:w="2127"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b/>
                <w:bCs/>
                <w:color w:val="000000"/>
              </w:rPr>
            </w:pPr>
            <w:r w:rsidRPr="009311F2">
              <w:rPr>
                <w:b/>
                <w:bCs/>
                <w:color w:val="000000"/>
              </w:rPr>
              <w:t>56 745 282 193</w:t>
            </w:r>
          </w:p>
        </w:tc>
        <w:tc>
          <w:tcPr>
            <w:tcW w:w="980"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b/>
                <w:bCs/>
                <w:color w:val="000000"/>
              </w:rPr>
            </w:pPr>
            <w:r w:rsidRPr="009311F2">
              <w:rPr>
                <w:b/>
                <w:bCs/>
                <w:color w:val="000000"/>
              </w:rPr>
              <w:t>131</w:t>
            </w:r>
          </w:p>
        </w:tc>
        <w:tc>
          <w:tcPr>
            <w:tcW w:w="1713"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b/>
                <w:bCs/>
                <w:color w:val="000000"/>
              </w:rPr>
            </w:pPr>
            <w:r w:rsidRPr="009311F2">
              <w:rPr>
                <w:b/>
                <w:bCs/>
                <w:color w:val="000000"/>
              </w:rPr>
              <w:t>56 030 658 404</w:t>
            </w:r>
          </w:p>
        </w:tc>
        <w:tc>
          <w:tcPr>
            <w:tcW w:w="850"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b/>
                <w:bCs/>
                <w:color w:val="000000"/>
              </w:rPr>
            </w:pPr>
            <w:r w:rsidRPr="009311F2">
              <w:rPr>
                <w:b/>
                <w:bCs/>
                <w:color w:val="000000"/>
                <w:sz w:val="22"/>
                <w:szCs w:val="22"/>
              </w:rPr>
              <w:t>87,33%</w:t>
            </w:r>
          </w:p>
        </w:tc>
        <w:tc>
          <w:tcPr>
            <w:tcW w:w="929" w:type="dxa"/>
            <w:tcBorders>
              <w:top w:val="nil"/>
              <w:left w:val="nil"/>
              <w:bottom w:val="single" w:sz="8" w:space="0" w:color="auto"/>
              <w:right w:val="single" w:sz="8" w:space="0" w:color="auto"/>
            </w:tcBorders>
            <w:shd w:val="clear" w:color="auto" w:fill="auto"/>
            <w:noWrap/>
            <w:vAlign w:val="center"/>
            <w:hideMark/>
          </w:tcPr>
          <w:p w:rsidR="0053132A" w:rsidRPr="009311F2" w:rsidRDefault="0053132A" w:rsidP="00156E32">
            <w:pPr>
              <w:spacing w:line="276" w:lineRule="auto"/>
              <w:jc w:val="center"/>
              <w:rPr>
                <w:b/>
                <w:bCs/>
                <w:color w:val="000000"/>
              </w:rPr>
            </w:pPr>
            <w:r w:rsidRPr="009311F2">
              <w:rPr>
                <w:b/>
                <w:bCs/>
                <w:color w:val="000000"/>
                <w:sz w:val="22"/>
                <w:szCs w:val="22"/>
              </w:rPr>
              <w:t>98,74%</w:t>
            </w:r>
          </w:p>
        </w:tc>
      </w:tr>
    </w:tbl>
    <w:p w:rsidR="0053132A" w:rsidRPr="00A21EC5" w:rsidRDefault="0053132A" w:rsidP="006026FE">
      <w:pPr>
        <w:autoSpaceDE w:val="0"/>
        <w:autoSpaceDN w:val="0"/>
        <w:adjustRightInd w:val="0"/>
        <w:spacing w:line="276" w:lineRule="auto"/>
        <w:jc w:val="both"/>
        <w:rPr>
          <w:rFonts w:eastAsiaTheme="minorHAnsi"/>
          <w:b/>
          <w:lang w:eastAsia="en-US"/>
        </w:rPr>
      </w:pPr>
    </w:p>
    <w:p w:rsidR="0053132A" w:rsidRDefault="00353CCF" w:rsidP="006026FE">
      <w:pPr>
        <w:autoSpaceDE w:val="0"/>
        <w:autoSpaceDN w:val="0"/>
        <w:adjustRightInd w:val="0"/>
        <w:spacing w:after="200" w:line="276" w:lineRule="auto"/>
        <w:jc w:val="both"/>
        <w:rPr>
          <w:b/>
        </w:rPr>
      </w:pPr>
      <w:r>
        <w:rPr>
          <w:b/>
        </w:rPr>
        <w:t>4.2.1.5</w:t>
      </w:r>
      <w:r w:rsidR="0053132A" w:rsidRPr="00B56747">
        <w:rPr>
          <w:b/>
        </w:rPr>
        <w:t xml:space="preserve"> Synthèse de l’échantillon</w:t>
      </w:r>
    </w:p>
    <w:p w:rsidR="000B5368" w:rsidRDefault="0053132A" w:rsidP="006026FE">
      <w:pPr>
        <w:autoSpaceDE w:val="0"/>
        <w:autoSpaceDN w:val="0"/>
        <w:adjustRightInd w:val="0"/>
        <w:spacing w:after="200" w:line="276" w:lineRule="auto"/>
        <w:jc w:val="both"/>
        <w:rPr>
          <w:rFonts w:eastAsiaTheme="minorHAnsi"/>
          <w:lang w:eastAsia="en-US"/>
        </w:rPr>
      </w:pPr>
      <w:r w:rsidRPr="00B56747">
        <w:rPr>
          <w:rFonts w:eastAsiaTheme="minorHAnsi"/>
          <w:lang w:eastAsia="en-US"/>
        </w:rPr>
        <w:t xml:space="preserve">La synthèse de notre échantillon </w:t>
      </w:r>
      <w:r>
        <w:rPr>
          <w:rFonts w:eastAsiaTheme="minorHAnsi"/>
          <w:lang w:eastAsia="en-US"/>
        </w:rPr>
        <w:t xml:space="preserve">par autorité contractante et par catégorie de marchés </w:t>
      </w:r>
      <w:r w:rsidRPr="00B56747">
        <w:rPr>
          <w:rFonts w:eastAsiaTheme="minorHAnsi"/>
          <w:lang w:eastAsia="en-US"/>
        </w:rPr>
        <w:t>se présente comme suit :</w:t>
      </w:r>
    </w:p>
    <w:p w:rsidR="00225AC6" w:rsidRDefault="00225AC6" w:rsidP="006026FE">
      <w:pPr>
        <w:autoSpaceDE w:val="0"/>
        <w:autoSpaceDN w:val="0"/>
        <w:adjustRightInd w:val="0"/>
        <w:spacing w:after="200" w:line="276" w:lineRule="auto"/>
        <w:jc w:val="both"/>
        <w:rPr>
          <w:rFonts w:eastAsiaTheme="minorHAnsi"/>
          <w:lang w:eastAsia="en-US"/>
        </w:rPr>
      </w:pPr>
    </w:p>
    <w:p w:rsidR="00225AC6" w:rsidRDefault="00225AC6" w:rsidP="006026FE">
      <w:pPr>
        <w:autoSpaceDE w:val="0"/>
        <w:autoSpaceDN w:val="0"/>
        <w:adjustRightInd w:val="0"/>
        <w:spacing w:after="200" w:line="276" w:lineRule="auto"/>
        <w:jc w:val="both"/>
        <w:rPr>
          <w:rFonts w:eastAsiaTheme="minorHAnsi"/>
          <w:lang w:eastAsia="en-US"/>
        </w:rPr>
      </w:pPr>
    </w:p>
    <w:p w:rsidR="00225AC6" w:rsidRDefault="00225AC6" w:rsidP="006026FE">
      <w:pPr>
        <w:autoSpaceDE w:val="0"/>
        <w:autoSpaceDN w:val="0"/>
        <w:adjustRightInd w:val="0"/>
        <w:spacing w:after="200" w:line="276" w:lineRule="auto"/>
        <w:jc w:val="both"/>
        <w:rPr>
          <w:rFonts w:eastAsiaTheme="minorHAnsi"/>
          <w:lang w:eastAsia="en-US"/>
        </w:rPr>
      </w:pPr>
    </w:p>
    <w:p w:rsidR="00225AC6" w:rsidRPr="006026FE" w:rsidRDefault="00225AC6" w:rsidP="006026FE">
      <w:pPr>
        <w:autoSpaceDE w:val="0"/>
        <w:autoSpaceDN w:val="0"/>
        <w:adjustRightInd w:val="0"/>
        <w:spacing w:after="200" w:line="276" w:lineRule="auto"/>
        <w:jc w:val="both"/>
        <w:rPr>
          <w:rFonts w:eastAsiaTheme="minorHAnsi"/>
          <w:lang w:eastAsia="en-US"/>
        </w:rPr>
      </w:pPr>
    </w:p>
    <w:tbl>
      <w:tblPr>
        <w:tblW w:w="9006" w:type="dxa"/>
        <w:tblInd w:w="-5" w:type="dxa"/>
        <w:tblCellMar>
          <w:left w:w="70" w:type="dxa"/>
          <w:right w:w="70" w:type="dxa"/>
        </w:tblCellMar>
        <w:tblLook w:val="04A0" w:firstRow="1" w:lastRow="0" w:firstColumn="1" w:lastColumn="0" w:noHBand="0" w:noVBand="1"/>
      </w:tblPr>
      <w:tblGrid>
        <w:gridCol w:w="1938"/>
        <w:gridCol w:w="1031"/>
        <w:gridCol w:w="1501"/>
        <w:gridCol w:w="1417"/>
        <w:gridCol w:w="1134"/>
        <w:gridCol w:w="1985"/>
      </w:tblGrid>
      <w:tr w:rsidR="0053132A" w:rsidRPr="00864D04" w:rsidTr="00225AC6">
        <w:trPr>
          <w:trHeight w:val="317"/>
        </w:trPr>
        <w:tc>
          <w:tcPr>
            <w:tcW w:w="1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32A" w:rsidRPr="00864D04" w:rsidRDefault="0053132A" w:rsidP="006026FE">
            <w:pPr>
              <w:spacing w:line="276" w:lineRule="auto"/>
              <w:jc w:val="both"/>
              <w:rPr>
                <w:b/>
                <w:color w:val="000000"/>
              </w:rPr>
            </w:pPr>
            <w:r w:rsidRPr="00864D04">
              <w:rPr>
                <w:rFonts w:eastAsiaTheme="minorHAnsi"/>
                <w:b/>
                <w:color w:val="000000"/>
                <w:lang w:eastAsia="en-US"/>
              </w:rPr>
              <w:t>Autorités contractantes</w:t>
            </w:r>
          </w:p>
        </w:tc>
        <w:tc>
          <w:tcPr>
            <w:tcW w:w="508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32A" w:rsidRPr="00864D04" w:rsidRDefault="0053132A" w:rsidP="006026FE">
            <w:pPr>
              <w:spacing w:line="276" w:lineRule="auto"/>
              <w:jc w:val="both"/>
              <w:rPr>
                <w:b/>
                <w:color w:val="000000"/>
              </w:rPr>
            </w:pPr>
            <w:r w:rsidRPr="00864D04">
              <w:rPr>
                <w:b/>
                <w:color w:val="000000"/>
              </w:rPr>
              <w:t>Nombre de marchés par tranche</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32A" w:rsidRPr="00864D04" w:rsidRDefault="0053132A" w:rsidP="006026FE">
            <w:pPr>
              <w:spacing w:line="276" w:lineRule="auto"/>
              <w:jc w:val="both"/>
              <w:rPr>
                <w:b/>
                <w:color w:val="000000"/>
              </w:rPr>
            </w:pPr>
            <w:r w:rsidRPr="00864D04">
              <w:rPr>
                <w:rFonts w:eastAsiaTheme="minorHAnsi"/>
                <w:b/>
                <w:color w:val="000000"/>
                <w:lang w:eastAsia="en-US"/>
              </w:rPr>
              <w:t>Nombre Total</w:t>
            </w:r>
          </w:p>
        </w:tc>
      </w:tr>
      <w:tr w:rsidR="0053132A" w:rsidRPr="00864D04" w:rsidTr="00225AC6">
        <w:trPr>
          <w:trHeight w:val="458"/>
        </w:trPr>
        <w:tc>
          <w:tcPr>
            <w:tcW w:w="1938" w:type="dxa"/>
            <w:vMerge/>
            <w:tcBorders>
              <w:top w:val="single" w:sz="4" w:space="0" w:color="auto"/>
              <w:left w:val="single" w:sz="4" w:space="0" w:color="auto"/>
              <w:bottom w:val="single" w:sz="4" w:space="0" w:color="auto"/>
              <w:right w:val="single" w:sz="4" w:space="0" w:color="auto"/>
            </w:tcBorders>
            <w:vAlign w:val="center"/>
            <w:hideMark/>
          </w:tcPr>
          <w:p w:rsidR="0053132A" w:rsidRPr="00864D04" w:rsidRDefault="0053132A" w:rsidP="006026FE">
            <w:pPr>
              <w:spacing w:line="276" w:lineRule="auto"/>
              <w:jc w:val="both"/>
              <w:rPr>
                <w:b/>
                <w:color w:val="000000"/>
              </w:rPr>
            </w:pPr>
          </w:p>
        </w:tc>
        <w:tc>
          <w:tcPr>
            <w:tcW w:w="5083" w:type="dxa"/>
            <w:gridSpan w:val="4"/>
            <w:vMerge/>
            <w:tcBorders>
              <w:top w:val="single" w:sz="4" w:space="0" w:color="auto"/>
              <w:left w:val="single" w:sz="4" w:space="0" w:color="auto"/>
              <w:bottom w:val="single" w:sz="4" w:space="0" w:color="auto"/>
              <w:right w:val="single" w:sz="4" w:space="0" w:color="auto"/>
            </w:tcBorders>
            <w:vAlign w:val="center"/>
            <w:hideMark/>
          </w:tcPr>
          <w:p w:rsidR="0053132A" w:rsidRPr="00864D04" w:rsidRDefault="0053132A" w:rsidP="006026FE">
            <w:pPr>
              <w:spacing w:line="276" w:lineRule="auto"/>
              <w:jc w:val="both"/>
              <w:rPr>
                <w:b/>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3132A" w:rsidRPr="00864D04" w:rsidRDefault="0053132A" w:rsidP="006026FE">
            <w:pPr>
              <w:spacing w:line="276" w:lineRule="auto"/>
              <w:jc w:val="both"/>
              <w:rPr>
                <w:b/>
                <w:color w:val="000000"/>
              </w:rPr>
            </w:pPr>
          </w:p>
        </w:tc>
      </w:tr>
      <w:tr w:rsidR="0053132A" w:rsidRPr="00864D04" w:rsidTr="00225AC6">
        <w:trPr>
          <w:trHeight w:val="945"/>
        </w:trPr>
        <w:tc>
          <w:tcPr>
            <w:tcW w:w="1938" w:type="dxa"/>
            <w:vMerge/>
            <w:tcBorders>
              <w:top w:val="single" w:sz="4" w:space="0" w:color="auto"/>
              <w:left w:val="single" w:sz="4" w:space="0" w:color="auto"/>
              <w:bottom w:val="single" w:sz="4" w:space="0" w:color="auto"/>
              <w:right w:val="single" w:sz="4" w:space="0" w:color="auto"/>
            </w:tcBorders>
            <w:vAlign w:val="center"/>
            <w:hideMark/>
          </w:tcPr>
          <w:p w:rsidR="0053132A" w:rsidRPr="00864D04" w:rsidRDefault="0053132A" w:rsidP="006026FE">
            <w:pPr>
              <w:spacing w:line="276" w:lineRule="auto"/>
              <w:jc w:val="both"/>
              <w:rPr>
                <w:b/>
                <w:color w:val="000000"/>
              </w:rPr>
            </w:pPr>
          </w:p>
        </w:tc>
        <w:tc>
          <w:tcPr>
            <w:tcW w:w="1031"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6026FE">
            <w:pPr>
              <w:spacing w:line="276" w:lineRule="auto"/>
              <w:jc w:val="both"/>
              <w:rPr>
                <w:b/>
                <w:color w:val="000000"/>
              </w:rPr>
            </w:pPr>
            <w:r w:rsidRPr="00864D04">
              <w:rPr>
                <w:rFonts w:eastAsiaTheme="minorHAnsi"/>
                <w:b/>
                <w:color w:val="000000"/>
                <w:lang w:eastAsia="en-US"/>
              </w:rPr>
              <w:t>Entente directe (1)</w:t>
            </w:r>
          </w:p>
        </w:tc>
        <w:tc>
          <w:tcPr>
            <w:tcW w:w="1501"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6026FE">
            <w:pPr>
              <w:spacing w:line="276" w:lineRule="auto"/>
              <w:jc w:val="both"/>
              <w:rPr>
                <w:b/>
                <w:color w:val="000000"/>
              </w:rPr>
            </w:pPr>
            <w:r w:rsidRPr="00864D04">
              <w:rPr>
                <w:b/>
                <w:color w:val="000000"/>
              </w:rPr>
              <w:t>entre 300 et 500 Millions</w:t>
            </w:r>
          </w:p>
          <w:p w:rsidR="0053132A" w:rsidRPr="00864D04" w:rsidRDefault="0053132A" w:rsidP="006026FE">
            <w:pPr>
              <w:spacing w:line="276" w:lineRule="auto"/>
              <w:jc w:val="both"/>
              <w:rPr>
                <w:b/>
                <w:color w:val="000000"/>
              </w:rPr>
            </w:pPr>
            <w:r w:rsidRPr="00864D04">
              <w:rPr>
                <w:b/>
                <w:color w:val="000000"/>
              </w:rPr>
              <w:t>(2)</w:t>
            </w:r>
          </w:p>
        </w:tc>
        <w:tc>
          <w:tcPr>
            <w:tcW w:w="1417"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6026FE">
            <w:pPr>
              <w:spacing w:line="276" w:lineRule="auto"/>
              <w:jc w:val="both"/>
              <w:rPr>
                <w:b/>
                <w:color w:val="000000"/>
              </w:rPr>
            </w:pPr>
            <w:r w:rsidRPr="00864D04">
              <w:rPr>
                <w:b/>
                <w:color w:val="000000"/>
              </w:rPr>
              <w:t>supérieurs à 500 Millions (3)</w:t>
            </w:r>
          </w:p>
        </w:tc>
        <w:tc>
          <w:tcPr>
            <w:tcW w:w="1134"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6026FE">
            <w:pPr>
              <w:spacing w:line="276" w:lineRule="auto"/>
              <w:jc w:val="both"/>
              <w:rPr>
                <w:rFonts w:eastAsiaTheme="minorHAnsi"/>
                <w:b/>
                <w:color w:val="000000"/>
                <w:lang w:eastAsia="en-US"/>
              </w:rPr>
            </w:pPr>
            <w:r w:rsidRPr="00864D04">
              <w:rPr>
                <w:rFonts w:eastAsiaTheme="minorHAnsi"/>
                <w:b/>
                <w:color w:val="000000"/>
                <w:lang w:eastAsia="en-US"/>
              </w:rPr>
              <w:t>Autres</w:t>
            </w:r>
          </w:p>
          <w:p w:rsidR="0053132A" w:rsidRPr="00864D04" w:rsidRDefault="0053132A" w:rsidP="006026FE">
            <w:pPr>
              <w:spacing w:line="276" w:lineRule="auto"/>
              <w:jc w:val="both"/>
              <w:rPr>
                <w:b/>
                <w:color w:val="000000"/>
              </w:rPr>
            </w:pPr>
            <w:r w:rsidRPr="00864D04">
              <w:rPr>
                <w:rFonts w:eastAsiaTheme="minorHAnsi"/>
                <w:b/>
                <w:color w:val="000000"/>
                <w:lang w:eastAsia="en-US"/>
              </w:rPr>
              <w:t>(4)</w:t>
            </w:r>
          </w:p>
        </w:tc>
        <w:tc>
          <w:tcPr>
            <w:tcW w:w="1985" w:type="dxa"/>
            <w:tcBorders>
              <w:top w:val="nil"/>
              <w:left w:val="nil"/>
              <w:bottom w:val="single" w:sz="4" w:space="0" w:color="auto"/>
              <w:right w:val="single" w:sz="4" w:space="0" w:color="auto"/>
            </w:tcBorders>
            <w:shd w:val="clear" w:color="auto" w:fill="auto"/>
            <w:vAlign w:val="center"/>
            <w:hideMark/>
          </w:tcPr>
          <w:p w:rsidR="0053132A" w:rsidRPr="00225AC6" w:rsidRDefault="0053132A" w:rsidP="006026FE">
            <w:pPr>
              <w:spacing w:line="276" w:lineRule="auto"/>
              <w:jc w:val="both"/>
              <w:rPr>
                <w:rFonts w:eastAsiaTheme="minorHAnsi"/>
                <w:b/>
                <w:color w:val="000000"/>
                <w:lang w:eastAsia="en-US"/>
              </w:rPr>
            </w:pPr>
            <w:r w:rsidRPr="00864D04">
              <w:rPr>
                <w:rFonts w:eastAsiaTheme="minorHAnsi"/>
                <w:b/>
                <w:color w:val="000000"/>
                <w:lang w:eastAsia="en-US"/>
              </w:rPr>
              <w:t>(5)= (1) + (2) + (3) +(4)</w:t>
            </w:r>
          </w:p>
        </w:tc>
      </w:tr>
      <w:tr w:rsidR="0053132A" w:rsidRPr="00864D04" w:rsidTr="00225AC6">
        <w:trPr>
          <w:trHeight w:val="315"/>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53132A" w:rsidRPr="00864D04" w:rsidRDefault="0053132A" w:rsidP="006026FE">
            <w:pPr>
              <w:spacing w:line="276" w:lineRule="auto"/>
              <w:jc w:val="both"/>
              <w:rPr>
                <w:color w:val="000000"/>
              </w:rPr>
            </w:pPr>
            <w:r w:rsidRPr="00864D04">
              <w:rPr>
                <w:color w:val="000000"/>
              </w:rPr>
              <w:t> CA</w:t>
            </w:r>
          </w:p>
        </w:tc>
        <w:tc>
          <w:tcPr>
            <w:tcW w:w="1031"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p>
        </w:tc>
        <w:tc>
          <w:tcPr>
            <w:tcW w:w="1501"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r w:rsidRPr="00864D04">
              <w:rPr>
                <w:color w:val="000000"/>
              </w:rPr>
              <w:t>5</w:t>
            </w:r>
          </w:p>
        </w:tc>
        <w:tc>
          <w:tcPr>
            <w:tcW w:w="1417"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r w:rsidRPr="00864D04">
              <w:rPr>
                <w:color w:val="000000"/>
              </w:rPr>
              <w:t>7</w:t>
            </w:r>
          </w:p>
        </w:tc>
        <w:tc>
          <w:tcPr>
            <w:tcW w:w="1134"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r w:rsidRPr="00864D04">
              <w:rPr>
                <w:color w:val="000000"/>
              </w:rPr>
              <w:t>8</w:t>
            </w:r>
          </w:p>
        </w:tc>
        <w:tc>
          <w:tcPr>
            <w:tcW w:w="1985"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b/>
                <w:color w:val="000000"/>
              </w:rPr>
            </w:pPr>
            <w:r w:rsidRPr="00864D04">
              <w:rPr>
                <w:b/>
                <w:color w:val="000000"/>
              </w:rPr>
              <w:t>20</w:t>
            </w:r>
          </w:p>
        </w:tc>
      </w:tr>
      <w:tr w:rsidR="0053132A" w:rsidRPr="00864D04" w:rsidTr="00225AC6">
        <w:trPr>
          <w:trHeight w:val="315"/>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53132A" w:rsidRPr="00864D04" w:rsidRDefault="0053132A" w:rsidP="006026FE">
            <w:pPr>
              <w:spacing w:line="276" w:lineRule="auto"/>
              <w:jc w:val="both"/>
              <w:rPr>
                <w:color w:val="000000"/>
              </w:rPr>
            </w:pPr>
            <w:r w:rsidRPr="00864D04">
              <w:rPr>
                <w:color w:val="000000"/>
              </w:rPr>
              <w:t> ONEP</w:t>
            </w:r>
          </w:p>
        </w:tc>
        <w:tc>
          <w:tcPr>
            <w:tcW w:w="1031"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p>
        </w:tc>
        <w:tc>
          <w:tcPr>
            <w:tcW w:w="1501"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p>
        </w:tc>
        <w:tc>
          <w:tcPr>
            <w:tcW w:w="1417"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p>
        </w:tc>
        <w:tc>
          <w:tcPr>
            <w:tcW w:w="1134"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r w:rsidRPr="00864D04">
              <w:rPr>
                <w:color w:val="000000"/>
              </w:rPr>
              <w:t>7</w:t>
            </w:r>
          </w:p>
        </w:tc>
        <w:tc>
          <w:tcPr>
            <w:tcW w:w="1985"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b/>
                <w:color w:val="000000"/>
              </w:rPr>
            </w:pPr>
            <w:r w:rsidRPr="00864D04">
              <w:rPr>
                <w:b/>
                <w:color w:val="000000"/>
              </w:rPr>
              <w:t>7</w:t>
            </w:r>
          </w:p>
        </w:tc>
      </w:tr>
      <w:tr w:rsidR="0053132A" w:rsidRPr="00864D04" w:rsidTr="00225AC6">
        <w:trPr>
          <w:trHeight w:val="315"/>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53132A" w:rsidRPr="00864D04" w:rsidRDefault="0053132A" w:rsidP="006026FE">
            <w:pPr>
              <w:spacing w:line="276" w:lineRule="auto"/>
              <w:jc w:val="both"/>
              <w:rPr>
                <w:color w:val="000000"/>
              </w:rPr>
            </w:pPr>
            <w:r w:rsidRPr="00864D04">
              <w:rPr>
                <w:color w:val="000000"/>
              </w:rPr>
              <w:t> SONIDEP</w:t>
            </w:r>
          </w:p>
        </w:tc>
        <w:tc>
          <w:tcPr>
            <w:tcW w:w="1031"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r w:rsidRPr="00864D04">
              <w:rPr>
                <w:color w:val="000000"/>
              </w:rPr>
              <w:t>2</w:t>
            </w:r>
          </w:p>
        </w:tc>
        <w:tc>
          <w:tcPr>
            <w:tcW w:w="1501"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p>
        </w:tc>
        <w:tc>
          <w:tcPr>
            <w:tcW w:w="1417"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r w:rsidRPr="00864D04">
              <w:rPr>
                <w:color w:val="000000"/>
              </w:rPr>
              <w:t>3</w:t>
            </w:r>
          </w:p>
        </w:tc>
        <w:tc>
          <w:tcPr>
            <w:tcW w:w="1134"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r w:rsidRPr="00864D04">
              <w:rPr>
                <w:color w:val="000000"/>
              </w:rPr>
              <w:t>31</w:t>
            </w:r>
          </w:p>
        </w:tc>
        <w:tc>
          <w:tcPr>
            <w:tcW w:w="1985"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b/>
                <w:color w:val="000000"/>
              </w:rPr>
            </w:pPr>
            <w:r w:rsidRPr="00864D04">
              <w:rPr>
                <w:b/>
                <w:color w:val="000000"/>
              </w:rPr>
              <w:t>36</w:t>
            </w:r>
          </w:p>
        </w:tc>
      </w:tr>
      <w:tr w:rsidR="0053132A" w:rsidRPr="00864D04" w:rsidTr="00225AC6">
        <w:trPr>
          <w:trHeight w:val="315"/>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53132A" w:rsidRPr="00864D04" w:rsidRDefault="0053132A" w:rsidP="006026FE">
            <w:pPr>
              <w:spacing w:line="276" w:lineRule="auto"/>
              <w:jc w:val="both"/>
              <w:rPr>
                <w:color w:val="000000"/>
              </w:rPr>
            </w:pPr>
            <w:r w:rsidRPr="00864D04">
              <w:rPr>
                <w:color w:val="000000"/>
              </w:rPr>
              <w:t>CAFER</w:t>
            </w:r>
          </w:p>
        </w:tc>
        <w:tc>
          <w:tcPr>
            <w:tcW w:w="1031"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p>
        </w:tc>
        <w:tc>
          <w:tcPr>
            <w:tcW w:w="1501"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r w:rsidRPr="00864D04">
              <w:rPr>
                <w:color w:val="000000"/>
              </w:rPr>
              <w:t>4</w:t>
            </w:r>
          </w:p>
        </w:tc>
        <w:tc>
          <w:tcPr>
            <w:tcW w:w="1417"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p>
        </w:tc>
        <w:tc>
          <w:tcPr>
            <w:tcW w:w="1134"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r w:rsidRPr="00864D04">
              <w:rPr>
                <w:color w:val="000000"/>
              </w:rPr>
              <w:t>18</w:t>
            </w:r>
          </w:p>
        </w:tc>
        <w:tc>
          <w:tcPr>
            <w:tcW w:w="1985"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b/>
                <w:color w:val="000000"/>
              </w:rPr>
            </w:pPr>
            <w:r w:rsidRPr="00864D04">
              <w:rPr>
                <w:b/>
                <w:color w:val="000000"/>
              </w:rPr>
              <w:t>22</w:t>
            </w:r>
          </w:p>
        </w:tc>
      </w:tr>
      <w:tr w:rsidR="0053132A" w:rsidRPr="00864D04" w:rsidTr="00225AC6">
        <w:trPr>
          <w:trHeight w:val="315"/>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53132A" w:rsidRPr="00864D04" w:rsidRDefault="0053132A" w:rsidP="006026FE">
            <w:pPr>
              <w:spacing w:line="276" w:lineRule="auto"/>
              <w:jc w:val="both"/>
              <w:rPr>
                <w:color w:val="000000"/>
              </w:rPr>
            </w:pPr>
            <w:r w:rsidRPr="00864D04">
              <w:rPr>
                <w:color w:val="000000"/>
              </w:rPr>
              <w:t>CCA</w:t>
            </w:r>
          </w:p>
        </w:tc>
        <w:tc>
          <w:tcPr>
            <w:tcW w:w="1031"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r w:rsidRPr="00864D04">
              <w:rPr>
                <w:color w:val="000000"/>
              </w:rPr>
              <w:t>21</w:t>
            </w:r>
          </w:p>
        </w:tc>
        <w:tc>
          <w:tcPr>
            <w:tcW w:w="1501"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p>
        </w:tc>
        <w:tc>
          <w:tcPr>
            <w:tcW w:w="1417"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p>
        </w:tc>
        <w:tc>
          <w:tcPr>
            <w:tcW w:w="1134"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p>
        </w:tc>
        <w:tc>
          <w:tcPr>
            <w:tcW w:w="1985"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b/>
                <w:color w:val="000000"/>
              </w:rPr>
            </w:pPr>
            <w:r w:rsidRPr="00864D04">
              <w:rPr>
                <w:b/>
                <w:color w:val="000000"/>
              </w:rPr>
              <w:t>21</w:t>
            </w:r>
          </w:p>
        </w:tc>
      </w:tr>
      <w:tr w:rsidR="0053132A" w:rsidRPr="00864D04" w:rsidTr="00225AC6">
        <w:trPr>
          <w:trHeight w:val="315"/>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53132A" w:rsidRPr="00864D04" w:rsidRDefault="0053132A" w:rsidP="006026FE">
            <w:pPr>
              <w:spacing w:line="276" w:lineRule="auto"/>
              <w:jc w:val="both"/>
              <w:rPr>
                <w:color w:val="000000"/>
              </w:rPr>
            </w:pPr>
            <w:r w:rsidRPr="00864D04">
              <w:rPr>
                <w:color w:val="000000"/>
              </w:rPr>
              <w:t>CCH</w:t>
            </w:r>
          </w:p>
        </w:tc>
        <w:tc>
          <w:tcPr>
            <w:tcW w:w="1031"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r w:rsidRPr="00864D04">
              <w:rPr>
                <w:color w:val="000000"/>
              </w:rPr>
              <w:t>9</w:t>
            </w:r>
          </w:p>
        </w:tc>
        <w:tc>
          <w:tcPr>
            <w:tcW w:w="1501"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p>
        </w:tc>
        <w:tc>
          <w:tcPr>
            <w:tcW w:w="1417"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p>
        </w:tc>
        <w:tc>
          <w:tcPr>
            <w:tcW w:w="1134"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p>
        </w:tc>
        <w:tc>
          <w:tcPr>
            <w:tcW w:w="1985"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b/>
                <w:color w:val="000000"/>
              </w:rPr>
            </w:pPr>
            <w:r w:rsidRPr="00864D04">
              <w:rPr>
                <w:b/>
                <w:color w:val="000000"/>
              </w:rPr>
              <w:t>9</w:t>
            </w:r>
          </w:p>
        </w:tc>
      </w:tr>
      <w:tr w:rsidR="0053132A" w:rsidRPr="00864D04" w:rsidTr="00225AC6">
        <w:trPr>
          <w:trHeight w:val="315"/>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53132A" w:rsidRPr="00864D04" w:rsidRDefault="0053132A" w:rsidP="006026FE">
            <w:pPr>
              <w:spacing w:line="276" w:lineRule="auto"/>
              <w:jc w:val="both"/>
              <w:rPr>
                <w:color w:val="000000"/>
              </w:rPr>
            </w:pPr>
            <w:r w:rsidRPr="00864D04">
              <w:rPr>
                <w:color w:val="000000"/>
              </w:rPr>
              <w:t>HCAVN</w:t>
            </w:r>
          </w:p>
        </w:tc>
        <w:tc>
          <w:tcPr>
            <w:tcW w:w="1031"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r w:rsidRPr="00864D04">
              <w:rPr>
                <w:color w:val="000000"/>
              </w:rPr>
              <w:t>1</w:t>
            </w:r>
          </w:p>
        </w:tc>
        <w:tc>
          <w:tcPr>
            <w:tcW w:w="1501"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r w:rsidRPr="00864D04">
              <w:rPr>
                <w:color w:val="000000"/>
              </w:rPr>
              <w:t>4</w:t>
            </w:r>
          </w:p>
        </w:tc>
        <w:tc>
          <w:tcPr>
            <w:tcW w:w="1417"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p>
        </w:tc>
        <w:tc>
          <w:tcPr>
            <w:tcW w:w="1134"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p>
        </w:tc>
        <w:tc>
          <w:tcPr>
            <w:tcW w:w="1985"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b/>
                <w:color w:val="000000"/>
              </w:rPr>
            </w:pPr>
            <w:r w:rsidRPr="00864D04">
              <w:rPr>
                <w:b/>
                <w:color w:val="000000"/>
              </w:rPr>
              <w:t>5</w:t>
            </w:r>
          </w:p>
        </w:tc>
      </w:tr>
      <w:tr w:rsidR="0053132A" w:rsidRPr="00864D04" w:rsidTr="00225AC6">
        <w:trPr>
          <w:trHeight w:val="315"/>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53132A" w:rsidRPr="00864D04" w:rsidRDefault="0053132A" w:rsidP="006026FE">
            <w:pPr>
              <w:spacing w:line="276" w:lineRule="auto"/>
              <w:jc w:val="both"/>
              <w:rPr>
                <w:color w:val="000000"/>
              </w:rPr>
            </w:pPr>
            <w:r w:rsidRPr="00864D04">
              <w:rPr>
                <w:color w:val="000000"/>
                <w:sz w:val="22"/>
                <w:szCs w:val="22"/>
              </w:rPr>
              <w:t>DRH/Tillabéri</w:t>
            </w:r>
          </w:p>
        </w:tc>
        <w:tc>
          <w:tcPr>
            <w:tcW w:w="1031"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p>
        </w:tc>
        <w:tc>
          <w:tcPr>
            <w:tcW w:w="1501"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p>
        </w:tc>
        <w:tc>
          <w:tcPr>
            <w:tcW w:w="1417"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p>
        </w:tc>
        <w:tc>
          <w:tcPr>
            <w:tcW w:w="1134"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color w:val="000000"/>
              </w:rPr>
            </w:pPr>
            <w:r w:rsidRPr="00864D04">
              <w:rPr>
                <w:color w:val="000000"/>
              </w:rPr>
              <w:t>11</w:t>
            </w:r>
          </w:p>
        </w:tc>
        <w:tc>
          <w:tcPr>
            <w:tcW w:w="1985"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b/>
                <w:color w:val="000000"/>
              </w:rPr>
            </w:pPr>
            <w:r w:rsidRPr="00864D04">
              <w:rPr>
                <w:b/>
                <w:color w:val="000000"/>
              </w:rPr>
              <w:t>11</w:t>
            </w:r>
          </w:p>
        </w:tc>
      </w:tr>
      <w:tr w:rsidR="0053132A" w:rsidRPr="00864D04" w:rsidTr="00225AC6">
        <w:trPr>
          <w:trHeight w:val="315"/>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53132A" w:rsidRPr="00864D04" w:rsidRDefault="0053132A" w:rsidP="006026FE">
            <w:pPr>
              <w:spacing w:line="276" w:lineRule="auto"/>
              <w:jc w:val="both"/>
              <w:rPr>
                <w:b/>
                <w:bCs/>
                <w:color w:val="000000"/>
              </w:rPr>
            </w:pPr>
            <w:r w:rsidRPr="00864D04">
              <w:rPr>
                <w:b/>
                <w:bCs/>
                <w:color w:val="000000"/>
              </w:rPr>
              <w:t>TOTAL</w:t>
            </w:r>
          </w:p>
        </w:tc>
        <w:tc>
          <w:tcPr>
            <w:tcW w:w="1031"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b/>
                <w:bCs/>
                <w:color w:val="000000"/>
              </w:rPr>
            </w:pPr>
            <w:r w:rsidRPr="00864D04">
              <w:rPr>
                <w:b/>
                <w:bCs/>
                <w:color w:val="000000"/>
              </w:rPr>
              <w:t>33</w:t>
            </w:r>
          </w:p>
        </w:tc>
        <w:tc>
          <w:tcPr>
            <w:tcW w:w="1501"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b/>
                <w:bCs/>
                <w:color w:val="000000"/>
              </w:rPr>
            </w:pPr>
            <w:r w:rsidRPr="00864D04">
              <w:rPr>
                <w:b/>
                <w:bCs/>
                <w:color w:val="000000"/>
              </w:rPr>
              <w:t>13</w:t>
            </w:r>
          </w:p>
        </w:tc>
        <w:tc>
          <w:tcPr>
            <w:tcW w:w="1417"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b/>
                <w:bCs/>
                <w:color w:val="000000"/>
              </w:rPr>
            </w:pPr>
            <w:r w:rsidRPr="00864D04">
              <w:rPr>
                <w:b/>
                <w:bCs/>
                <w:color w:val="000000"/>
              </w:rPr>
              <w:t>10</w:t>
            </w:r>
          </w:p>
        </w:tc>
        <w:tc>
          <w:tcPr>
            <w:tcW w:w="1134"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b/>
                <w:bCs/>
                <w:color w:val="000000"/>
              </w:rPr>
            </w:pPr>
            <w:r w:rsidRPr="00864D04">
              <w:rPr>
                <w:b/>
                <w:bCs/>
                <w:color w:val="000000"/>
              </w:rPr>
              <w:t>75</w:t>
            </w:r>
          </w:p>
        </w:tc>
        <w:tc>
          <w:tcPr>
            <w:tcW w:w="1985" w:type="dxa"/>
            <w:tcBorders>
              <w:top w:val="nil"/>
              <w:left w:val="nil"/>
              <w:bottom w:val="single" w:sz="4" w:space="0" w:color="auto"/>
              <w:right w:val="single" w:sz="4" w:space="0" w:color="auto"/>
            </w:tcBorders>
            <w:shd w:val="clear" w:color="auto" w:fill="auto"/>
            <w:vAlign w:val="center"/>
            <w:hideMark/>
          </w:tcPr>
          <w:p w:rsidR="0053132A" w:rsidRPr="00864D04" w:rsidRDefault="0053132A" w:rsidP="00E67F12">
            <w:pPr>
              <w:spacing w:line="276" w:lineRule="auto"/>
              <w:jc w:val="center"/>
              <w:rPr>
                <w:b/>
                <w:bCs/>
                <w:color w:val="000000"/>
              </w:rPr>
            </w:pPr>
            <w:r w:rsidRPr="00864D04">
              <w:rPr>
                <w:b/>
                <w:bCs/>
                <w:color w:val="000000"/>
              </w:rPr>
              <w:t>131</w:t>
            </w:r>
          </w:p>
        </w:tc>
      </w:tr>
    </w:tbl>
    <w:p w:rsidR="005E2402" w:rsidRDefault="005E2402" w:rsidP="006026FE">
      <w:pPr>
        <w:spacing w:line="276" w:lineRule="auto"/>
        <w:jc w:val="both"/>
        <w:rPr>
          <w:b/>
        </w:rPr>
      </w:pPr>
    </w:p>
    <w:p w:rsidR="005E2402" w:rsidRDefault="005E2402" w:rsidP="006026FE">
      <w:pPr>
        <w:spacing w:line="276" w:lineRule="auto"/>
        <w:jc w:val="both"/>
        <w:rPr>
          <w:b/>
        </w:rPr>
      </w:pPr>
    </w:p>
    <w:p w:rsidR="005E2402" w:rsidRDefault="00724691" w:rsidP="006026FE">
      <w:pPr>
        <w:spacing w:line="276" w:lineRule="auto"/>
        <w:jc w:val="both"/>
        <w:rPr>
          <w:b/>
        </w:rPr>
      </w:pPr>
      <w:r>
        <w:rPr>
          <w:b/>
        </w:rPr>
        <w:t>4</w:t>
      </w:r>
      <w:r w:rsidR="005E2402">
        <w:rPr>
          <w:b/>
        </w:rPr>
        <w:t>.2.2 Validation du rapport d’évaluation par l’ARMP</w:t>
      </w:r>
    </w:p>
    <w:p w:rsidR="005E2402" w:rsidRDefault="005E2402" w:rsidP="006026FE">
      <w:pPr>
        <w:spacing w:line="276" w:lineRule="auto"/>
        <w:jc w:val="both"/>
        <w:rPr>
          <w:b/>
        </w:rPr>
      </w:pPr>
      <w:r w:rsidRPr="00F95407">
        <w:t xml:space="preserve">Le rapport d’échantillonnage a fait l’objet d’observation sur </w:t>
      </w:r>
      <w:r w:rsidR="008F585F">
        <w:t>l’absence des marchés de la région de Niamey dont la liste nous n’avait pas été fournie.</w:t>
      </w:r>
    </w:p>
    <w:p w:rsidR="008F585F" w:rsidRDefault="008F585F" w:rsidP="006026FE">
      <w:pPr>
        <w:spacing w:line="276" w:lineRule="auto"/>
        <w:jc w:val="both"/>
        <w:rPr>
          <w:b/>
        </w:rPr>
      </w:pPr>
    </w:p>
    <w:p w:rsidR="005E2402" w:rsidRPr="00570937" w:rsidRDefault="00724691" w:rsidP="006026FE">
      <w:pPr>
        <w:spacing w:line="276" w:lineRule="auto"/>
        <w:jc w:val="both"/>
        <w:rPr>
          <w:b/>
        </w:rPr>
      </w:pPr>
      <w:r>
        <w:rPr>
          <w:b/>
        </w:rPr>
        <w:t>4</w:t>
      </w:r>
      <w:r w:rsidR="005E2402">
        <w:rPr>
          <w:b/>
        </w:rPr>
        <w:t>.2.3 Présentation de l’échantillon</w:t>
      </w:r>
    </w:p>
    <w:p w:rsidR="005E2402" w:rsidRDefault="005E2402" w:rsidP="006026FE">
      <w:pPr>
        <w:autoSpaceDE w:val="0"/>
        <w:autoSpaceDN w:val="0"/>
        <w:adjustRightInd w:val="0"/>
        <w:spacing w:line="276" w:lineRule="auto"/>
        <w:jc w:val="both"/>
        <w:rPr>
          <w:rFonts w:eastAsiaTheme="minorHAnsi"/>
          <w:lang w:eastAsia="en-US"/>
        </w:rPr>
      </w:pPr>
      <w:r>
        <w:rPr>
          <w:rFonts w:eastAsiaTheme="minorHAnsi"/>
          <w:lang w:eastAsia="en-US"/>
        </w:rPr>
        <w:t xml:space="preserve">Prenant en compte </w:t>
      </w:r>
      <w:r w:rsidR="008F585F">
        <w:t xml:space="preserve">la liste des marchés de la région de Niamey </w:t>
      </w:r>
      <w:r>
        <w:t>notre échantillon définitif se présente comme suit :</w:t>
      </w:r>
    </w:p>
    <w:p w:rsidR="005E2402" w:rsidRDefault="005E2402" w:rsidP="00D10A01">
      <w:pPr>
        <w:pStyle w:val="Paragraphedeliste"/>
        <w:numPr>
          <w:ilvl w:val="0"/>
          <w:numId w:val="7"/>
        </w:numPr>
        <w:autoSpaceDE w:val="0"/>
        <w:autoSpaceDN w:val="0"/>
        <w:adjustRightInd w:val="0"/>
        <w:spacing w:line="276" w:lineRule="auto"/>
        <w:jc w:val="both"/>
        <w:rPr>
          <w:rFonts w:eastAsiaTheme="minorHAnsi"/>
          <w:lang w:eastAsia="en-US"/>
        </w:rPr>
      </w:pPr>
      <w:r w:rsidRPr="00F95407">
        <w:rPr>
          <w:rFonts w:eastAsiaTheme="minorHAnsi"/>
          <w:lang w:eastAsia="en-US"/>
        </w:rPr>
        <w:t>La synthèse de notre échantillon en fonction des règles fixées par  les termes de référence se présente comme suit :</w:t>
      </w:r>
    </w:p>
    <w:p w:rsidR="006026FE" w:rsidRPr="00F95407" w:rsidRDefault="006026FE" w:rsidP="006026FE">
      <w:pPr>
        <w:pStyle w:val="Paragraphedeliste"/>
        <w:autoSpaceDE w:val="0"/>
        <w:autoSpaceDN w:val="0"/>
        <w:adjustRightInd w:val="0"/>
        <w:spacing w:line="276" w:lineRule="auto"/>
        <w:jc w:val="both"/>
        <w:rPr>
          <w:rFonts w:eastAsiaTheme="minorHAnsi"/>
          <w:lang w:eastAsia="en-US"/>
        </w:rPr>
      </w:pPr>
    </w:p>
    <w:tbl>
      <w:tblPr>
        <w:tblW w:w="10090" w:type="dxa"/>
        <w:tblInd w:w="-431" w:type="dxa"/>
        <w:tblCellMar>
          <w:left w:w="70" w:type="dxa"/>
          <w:right w:w="70" w:type="dxa"/>
        </w:tblCellMar>
        <w:tblLook w:val="04A0" w:firstRow="1" w:lastRow="0" w:firstColumn="1" w:lastColumn="0" w:noHBand="0" w:noVBand="1"/>
      </w:tblPr>
      <w:tblGrid>
        <w:gridCol w:w="3053"/>
        <w:gridCol w:w="980"/>
        <w:gridCol w:w="1577"/>
        <w:gridCol w:w="943"/>
        <w:gridCol w:w="1657"/>
        <w:gridCol w:w="940"/>
        <w:gridCol w:w="940"/>
      </w:tblGrid>
      <w:tr w:rsidR="009C06AE" w:rsidRPr="009C06AE" w:rsidTr="00C00D71">
        <w:trPr>
          <w:trHeight w:val="300"/>
        </w:trPr>
        <w:tc>
          <w:tcPr>
            <w:tcW w:w="30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6AE" w:rsidRPr="009C06AE" w:rsidRDefault="009C06AE" w:rsidP="006026FE">
            <w:pPr>
              <w:spacing w:line="276" w:lineRule="auto"/>
              <w:jc w:val="both"/>
              <w:rPr>
                <w:b/>
                <w:bCs/>
                <w:color w:val="000000"/>
              </w:rPr>
            </w:pPr>
            <w:r w:rsidRPr="009C06AE">
              <w:rPr>
                <w:b/>
                <w:bCs/>
                <w:color w:val="000000"/>
                <w:sz w:val="22"/>
                <w:szCs w:val="22"/>
              </w:rPr>
              <w:t>MARCHES</w:t>
            </w:r>
          </w:p>
        </w:tc>
        <w:tc>
          <w:tcPr>
            <w:tcW w:w="2557" w:type="dxa"/>
            <w:gridSpan w:val="2"/>
            <w:tcBorders>
              <w:top w:val="single" w:sz="4" w:space="0" w:color="auto"/>
              <w:left w:val="nil"/>
              <w:bottom w:val="single" w:sz="4" w:space="0" w:color="auto"/>
              <w:right w:val="single" w:sz="4" w:space="0" w:color="auto"/>
            </w:tcBorders>
            <w:shd w:val="clear" w:color="auto" w:fill="auto"/>
            <w:noWrap/>
            <w:vAlign w:val="center"/>
            <w:hideMark/>
          </w:tcPr>
          <w:p w:rsidR="009C06AE" w:rsidRPr="009C06AE" w:rsidRDefault="009C06AE" w:rsidP="006026FE">
            <w:pPr>
              <w:spacing w:line="276" w:lineRule="auto"/>
              <w:jc w:val="both"/>
              <w:rPr>
                <w:b/>
                <w:bCs/>
                <w:color w:val="000000"/>
              </w:rPr>
            </w:pPr>
            <w:r w:rsidRPr="009C06AE">
              <w:rPr>
                <w:b/>
                <w:bCs/>
                <w:color w:val="000000"/>
                <w:sz w:val="22"/>
                <w:szCs w:val="22"/>
              </w:rPr>
              <w:t>Population</w:t>
            </w:r>
          </w:p>
        </w:tc>
        <w:tc>
          <w:tcPr>
            <w:tcW w:w="2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9C06AE" w:rsidRPr="009C06AE" w:rsidRDefault="009C06AE" w:rsidP="006026FE">
            <w:pPr>
              <w:spacing w:line="276" w:lineRule="auto"/>
              <w:jc w:val="both"/>
              <w:rPr>
                <w:b/>
                <w:bCs/>
                <w:color w:val="000000"/>
              </w:rPr>
            </w:pPr>
            <w:r w:rsidRPr="009C06AE">
              <w:rPr>
                <w:b/>
                <w:bCs/>
                <w:color w:val="000000"/>
                <w:sz w:val="22"/>
                <w:szCs w:val="22"/>
              </w:rPr>
              <w:t>Echantillon</w:t>
            </w:r>
          </w:p>
        </w:tc>
        <w:tc>
          <w:tcPr>
            <w:tcW w:w="18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6AE" w:rsidRPr="009C06AE" w:rsidRDefault="009C06AE" w:rsidP="006026FE">
            <w:pPr>
              <w:spacing w:line="276" w:lineRule="auto"/>
              <w:jc w:val="both"/>
              <w:rPr>
                <w:b/>
                <w:bCs/>
                <w:color w:val="000000"/>
              </w:rPr>
            </w:pPr>
            <w:r w:rsidRPr="009C06AE">
              <w:rPr>
                <w:b/>
                <w:bCs/>
                <w:color w:val="000000"/>
                <w:sz w:val="22"/>
                <w:szCs w:val="22"/>
              </w:rPr>
              <w:t>Pourcentage</w:t>
            </w:r>
          </w:p>
        </w:tc>
      </w:tr>
      <w:tr w:rsidR="009C06AE" w:rsidRPr="009C06AE" w:rsidTr="00C00D71">
        <w:trPr>
          <w:trHeight w:val="300"/>
        </w:trPr>
        <w:tc>
          <w:tcPr>
            <w:tcW w:w="3053" w:type="dxa"/>
            <w:vMerge/>
            <w:tcBorders>
              <w:top w:val="single" w:sz="4" w:space="0" w:color="auto"/>
              <w:left w:val="single" w:sz="4" w:space="0" w:color="auto"/>
              <w:bottom w:val="single" w:sz="4" w:space="0" w:color="auto"/>
              <w:right w:val="single" w:sz="4" w:space="0" w:color="auto"/>
            </w:tcBorders>
            <w:vAlign w:val="center"/>
            <w:hideMark/>
          </w:tcPr>
          <w:p w:rsidR="009C06AE" w:rsidRPr="009C06AE" w:rsidRDefault="009C06AE" w:rsidP="006026FE">
            <w:pPr>
              <w:spacing w:line="276" w:lineRule="auto"/>
              <w:jc w:val="both"/>
              <w:rPr>
                <w:b/>
                <w:bCs/>
                <w:color w:val="000000"/>
              </w:rPr>
            </w:pPr>
          </w:p>
        </w:tc>
        <w:tc>
          <w:tcPr>
            <w:tcW w:w="980"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6026FE">
            <w:pPr>
              <w:spacing w:line="276" w:lineRule="auto"/>
              <w:jc w:val="both"/>
              <w:rPr>
                <w:b/>
                <w:bCs/>
                <w:color w:val="000000"/>
              </w:rPr>
            </w:pPr>
            <w:r w:rsidRPr="009C06AE">
              <w:rPr>
                <w:b/>
                <w:bCs/>
                <w:color w:val="000000"/>
                <w:sz w:val="22"/>
                <w:szCs w:val="22"/>
              </w:rPr>
              <w:t>Nombre</w:t>
            </w:r>
          </w:p>
        </w:tc>
        <w:tc>
          <w:tcPr>
            <w:tcW w:w="1577"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6026FE">
            <w:pPr>
              <w:spacing w:line="276" w:lineRule="auto"/>
              <w:jc w:val="both"/>
              <w:rPr>
                <w:b/>
                <w:bCs/>
                <w:color w:val="000000"/>
              </w:rPr>
            </w:pPr>
            <w:r w:rsidRPr="009C06AE">
              <w:rPr>
                <w:b/>
                <w:bCs/>
                <w:color w:val="000000"/>
                <w:sz w:val="22"/>
                <w:szCs w:val="22"/>
              </w:rPr>
              <w:t>Valeur</w:t>
            </w:r>
          </w:p>
        </w:tc>
        <w:tc>
          <w:tcPr>
            <w:tcW w:w="943"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6026FE">
            <w:pPr>
              <w:spacing w:line="276" w:lineRule="auto"/>
              <w:jc w:val="both"/>
              <w:rPr>
                <w:b/>
                <w:bCs/>
                <w:color w:val="000000"/>
              </w:rPr>
            </w:pPr>
            <w:r w:rsidRPr="009C06AE">
              <w:rPr>
                <w:b/>
                <w:bCs/>
                <w:color w:val="000000"/>
                <w:sz w:val="22"/>
                <w:szCs w:val="22"/>
              </w:rPr>
              <w:t>Nombre</w:t>
            </w:r>
          </w:p>
        </w:tc>
        <w:tc>
          <w:tcPr>
            <w:tcW w:w="1657"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6026FE">
            <w:pPr>
              <w:spacing w:line="276" w:lineRule="auto"/>
              <w:jc w:val="both"/>
              <w:rPr>
                <w:b/>
                <w:bCs/>
                <w:color w:val="000000"/>
              </w:rPr>
            </w:pPr>
            <w:r w:rsidRPr="009C06AE">
              <w:rPr>
                <w:b/>
                <w:bCs/>
                <w:color w:val="000000"/>
                <w:sz w:val="22"/>
                <w:szCs w:val="22"/>
              </w:rPr>
              <w:t>Valeur</w:t>
            </w:r>
          </w:p>
        </w:tc>
        <w:tc>
          <w:tcPr>
            <w:tcW w:w="1880" w:type="dxa"/>
            <w:gridSpan w:val="2"/>
            <w:vMerge/>
            <w:tcBorders>
              <w:top w:val="nil"/>
              <w:left w:val="nil"/>
              <w:bottom w:val="single" w:sz="4" w:space="0" w:color="auto"/>
              <w:right w:val="single" w:sz="4" w:space="0" w:color="auto"/>
            </w:tcBorders>
            <w:vAlign w:val="center"/>
            <w:hideMark/>
          </w:tcPr>
          <w:p w:rsidR="009C06AE" w:rsidRPr="009C06AE" w:rsidRDefault="009C06AE" w:rsidP="006026FE">
            <w:pPr>
              <w:spacing w:line="276" w:lineRule="auto"/>
              <w:jc w:val="both"/>
              <w:rPr>
                <w:b/>
                <w:bCs/>
                <w:color w:val="000000"/>
              </w:rPr>
            </w:pPr>
          </w:p>
        </w:tc>
      </w:tr>
      <w:tr w:rsidR="009C06AE" w:rsidRPr="009C06AE" w:rsidTr="00C00D71">
        <w:trPr>
          <w:trHeight w:val="1260"/>
        </w:trPr>
        <w:tc>
          <w:tcPr>
            <w:tcW w:w="3053" w:type="dxa"/>
            <w:tcBorders>
              <w:top w:val="nil"/>
              <w:left w:val="single" w:sz="4" w:space="0" w:color="auto"/>
              <w:bottom w:val="single" w:sz="4" w:space="0" w:color="auto"/>
              <w:right w:val="single" w:sz="4" w:space="0" w:color="auto"/>
            </w:tcBorders>
            <w:shd w:val="clear" w:color="auto" w:fill="auto"/>
            <w:vAlign w:val="bottom"/>
            <w:hideMark/>
          </w:tcPr>
          <w:p w:rsidR="009C06AE" w:rsidRPr="009C06AE" w:rsidRDefault="00C00D71" w:rsidP="00C00D71">
            <w:pPr>
              <w:spacing w:line="276" w:lineRule="auto"/>
              <w:ind w:hanging="501"/>
              <w:rPr>
                <w:color w:val="000000"/>
              </w:rPr>
            </w:pPr>
            <w:r>
              <w:rPr>
                <w:color w:val="000000"/>
              </w:rPr>
              <w:t xml:space="preserve">        </w:t>
            </w:r>
            <w:r w:rsidR="009C06AE" w:rsidRPr="009C06AE">
              <w:rPr>
                <w:color w:val="000000"/>
              </w:rPr>
              <w:t xml:space="preserve">Marchés publics passés par les Etablissements Publics, les sociétés d’Etat et </w:t>
            </w:r>
            <w:r>
              <w:rPr>
                <w:color w:val="000000"/>
              </w:rPr>
              <w:t>les Sociétés d’Economie Mixtes </w:t>
            </w:r>
          </w:p>
        </w:tc>
        <w:tc>
          <w:tcPr>
            <w:tcW w:w="980"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69</w:t>
            </w:r>
          </w:p>
        </w:tc>
        <w:tc>
          <w:tcPr>
            <w:tcW w:w="1577"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3 165 985 945</w:t>
            </w:r>
          </w:p>
        </w:tc>
        <w:tc>
          <w:tcPr>
            <w:tcW w:w="943"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50</w:t>
            </w:r>
          </w:p>
        </w:tc>
        <w:tc>
          <w:tcPr>
            <w:tcW w:w="1657"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2 671 833 964</w:t>
            </w:r>
          </w:p>
        </w:tc>
        <w:tc>
          <w:tcPr>
            <w:tcW w:w="940"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72,46%</w:t>
            </w:r>
          </w:p>
        </w:tc>
        <w:tc>
          <w:tcPr>
            <w:tcW w:w="940"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84,39%</w:t>
            </w:r>
          </w:p>
        </w:tc>
      </w:tr>
      <w:tr w:rsidR="009C06AE" w:rsidRPr="009C06AE" w:rsidTr="00C00D71">
        <w:trPr>
          <w:trHeight w:val="630"/>
        </w:trPr>
        <w:tc>
          <w:tcPr>
            <w:tcW w:w="3053" w:type="dxa"/>
            <w:tcBorders>
              <w:top w:val="nil"/>
              <w:left w:val="single" w:sz="4" w:space="0" w:color="auto"/>
              <w:bottom w:val="single" w:sz="4" w:space="0" w:color="auto"/>
              <w:right w:val="single" w:sz="4" w:space="0" w:color="auto"/>
            </w:tcBorders>
            <w:shd w:val="clear" w:color="auto" w:fill="auto"/>
            <w:noWrap/>
            <w:vAlign w:val="center"/>
            <w:hideMark/>
          </w:tcPr>
          <w:p w:rsidR="009C06AE" w:rsidRPr="009C06AE" w:rsidRDefault="009C06AE" w:rsidP="006026FE">
            <w:pPr>
              <w:spacing w:line="276" w:lineRule="auto"/>
              <w:jc w:val="both"/>
              <w:rPr>
                <w:color w:val="000000"/>
              </w:rPr>
            </w:pPr>
            <w:r w:rsidRPr="009C06AE">
              <w:rPr>
                <w:color w:val="000000"/>
              </w:rPr>
              <w:t>Cinquante (50) marchés publics passés par la Région de Niamey </w:t>
            </w:r>
          </w:p>
        </w:tc>
        <w:tc>
          <w:tcPr>
            <w:tcW w:w="980"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45</w:t>
            </w:r>
          </w:p>
        </w:tc>
        <w:tc>
          <w:tcPr>
            <w:tcW w:w="1577"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910 525 181</w:t>
            </w:r>
          </w:p>
        </w:tc>
        <w:tc>
          <w:tcPr>
            <w:tcW w:w="943"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45</w:t>
            </w:r>
          </w:p>
        </w:tc>
        <w:tc>
          <w:tcPr>
            <w:tcW w:w="1657"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910 525 181</w:t>
            </w:r>
          </w:p>
        </w:tc>
        <w:tc>
          <w:tcPr>
            <w:tcW w:w="940"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100,00%</w:t>
            </w:r>
          </w:p>
        </w:tc>
        <w:tc>
          <w:tcPr>
            <w:tcW w:w="940"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100,00%</w:t>
            </w:r>
          </w:p>
        </w:tc>
      </w:tr>
      <w:tr w:rsidR="009C06AE" w:rsidRPr="009C06AE" w:rsidTr="00C00D71">
        <w:trPr>
          <w:trHeight w:val="630"/>
        </w:trPr>
        <w:tc>
          <w:tcPr>
            <w:tcW w:w="3053" w:type="dxa"/>
            <w:tcBorders>
              <w:top w:val="nil"/>
              <w:left w:val="single" w:sz="4" w:space="0" w:color="auto"/>
              <w:bottom w:val="single" w:sz="4" w:space="0" w:color="auto"/>
              <w:right w:val="single" w:sz="4" w:space="0" w:color="auto"/>
            </w:tcBorders>
            <w:shd w:val="clear" w:color="auto" w:fill="auto"/>
            <w:noWrap/>
            <w:vAlign w:val="center"/>
            <w:hideMark/>
          </w:tcPr>
          <w:p w:rsidR="009C06AE" w:rsidRPr="009C06AE" w:rsidRDefault="009C06AE" w:rsidP="002429C4">
            <w:pPr>
              <w:spacing w:line="276" w:lineRule="auto"/>
              <w:jc w:val="both"/>
              <w:rPr>
                <w:color w:val="000000"/>
              </w:rPr>
            </w:pPr>
            <w:r w:rsidRPr="009C06AE">
              <w:rPr>
                <w:color w:val="000000"/>
              </w:rPr>
              <w:lastRenderedPageBreak/>
              <w:t>Trente (30) marchés passés par la Région de Tillabéri </w:t>
            </w:r>
          </w:p>
        </w:tc>
        <w:tc>
          <w:tcPr>
            <w:tcW w:w="980"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11</w:t>
            </w:r>
          </w:p>
        </w:tc>
        <w:tc>
          <w:tcPr>
            <w:tcW w:w="1577"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711 067 721</w:t>
            </w:r>
          </w:p>
        </w:tc>
        <w:tc>
          <w:tcPr>
            <w:tcW w:w="943"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11</w:t>
            </w:r>
          </w:p>
        </w:tc>
        <w:tc>
          <w:tcPr>
            <w:tcW w:w="1657"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711 067 721</w:t>
            </w:r>
          </w:p>
        </w:tc>
        <w:tc>
          <w:tcPr>
            <w:tcW w:w="940"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100,00%</w:t>
            </w:r>
          </w:p>
        </w:tc>
        <w:tc>
          <w:tcPr>
            <w:tcW w:w="940"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100,00%</w:t>
            </w:r>
          </w:p>
        </w:tc>
      </w:tr>
      <w:tr w:rsidR="009C06AE" w:rsidRPr="009C06AE" w:rsidTr="00C00D71">
        <w:trPr>
          <w:trHeight w:val="945"/>
        </w:trPr>
        <w:tc>
          <w:tcPr>
            <w:tcW w:w="3053" w:type="dxa"/>
            <w:tcBorders>
              <w:top w:val="nil"/>
              <w:left w:val="single" w:sz="4" w:space="0" w:color="auto"/>
              <w:bottom w:val="single" w:sz="4" w:space="0" w:color="auto"/>
              <w:right w:val="single" w:sz="4" w:space="0" w:color="auto"/>
            </w:tcBorders>
            <w:shd w:val="clear" w:color="auto" w:fill="auto"/>
            <w:noWrap/>
            <w:vAlign w:val="center"/>
            <w:hideMark/>
          </w:tcPr>
          <w:p w:rsidR="009C06AE" w:rsidRPr="009C06AE" w:rsidRDefault="009C06AE" w:rsidP="006026FE">
            <w:pPr>
              <w:spacing w:line="276" w:lineRule="auto"/>
              <w:jc w:val="both"/>
              <w:rPr>
                <w:color w:val="000000"/>
              </w:rPr>
            </w:pPr>
            <w:r w:rsidRPr="009C06AE">
              <w:rPr>
                <w:color w:val="000000"/>
              </w:rPr>
              <w:t>Tous les marchés publics dont les montants sont supérieurs à 100 Millions.</w:t>
            </w:r>
          </w:p>
        </w:tc>
        <w:tc>
          <w:tcPr>
            <w:tcW w:w="980"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70</w:t>
            </w:r>
          </w:p>
        </w:tc>
        <w:tc>
          <w:tcPr>
            <w:tcW w:w="1577"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53 467 407 222</w:t>
            </w:r>
          </w:p>
        </w:tc>
        <w:tc>
          <w:tcPr>
            <w:tcW w:w="943"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70</w:t>
            </w:r>
          </w:p>
        </w:tc>
        <w:tc>
          <w:tcPr>
            <w:tcW w:w="1657"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53 467 407 222</w:t>
            </w:r>
          </w:p>
        </w:tc>
        <w:tc>
          <w:tcPr>
            <w:tcW w:w="940"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100,00%</w:t>
            </w:r>
          </w:p>
        </w:tc>
        <w:tc>
          <w:tcPr>
            <w:tcW w:w="940" w:type="dxa"/>
            <w:tcBorders>
              <w:top w:val="nil"/>
              <w:left w:val="nil"/>
              <w:bottom w:val="single" w:sz="4" w:space="0" w:color="auto"/>
              <w:right w:val="single" w:sz="4" w:space="0" w:color="auto"/>
            </w:tcBorders>
            <w:shd w:val="clear" w:color="auto" w:fill="auto"/>
            <w:noWrap/>
            <w:vAlign w:val="center"/>
            <w:hideMark/>
          </w:tcPr>
          <w:p w:rsidR="009C06AE" w:rsidRPr="009C06AE" w:rsidRDefault="009C06AE" w:rsidP="00E67F12">
            <w:pPr>
              <w:spacing w:line="276" w:lineRule="auto"/>
              <w:jc w:val="center"/>
              <w:rPr>
                <w:color w:val="000000"/>
              </w:rPr>
            </w:pPr>
            <w:r w:rsidRPr="009C06AE">
              <w:rPr>
                <w:color w:val="000000"/>
                <w:sz w:val="22"/>
                <w:szCs w:val="22"/>
              </w:rPr>
              <w:t>100,00%</w:t>
            </w:r>
          </w:p>
        </w:tc>
      </w:tr>
      <w:tr w:rsidR="009C06AE" w:rsidRPr="009C06AE" w:rsidTr="00C00D71">
        <w:trPr>
          <w:trHeight w:val="300"/>
        </w:trPr>
        <w:tc>
          <w:tcPr>
            <w:tcW w:w="3053" w:type="dxa"/>
            <w:tcBorders>
              <w:top w:val="nil"/>
              <w:left w:val="single" w:sz="4" w:space="0" w:color="auto"/>
              <w:bottom w:val="single" w:sz="4" w:space="0" w:color="auto"/>
              <w:right w:val="single" w:sz="4" w:space="0" w:color="auto"/>
            </w:tcBorders>
            <w:shd w:val="clear" w:color="auto" w:fill="auto"/>
            <w:noWrap/>
            <w:vAlign w:val="center"/>
            <w:hideMark/>
          </w:tcPr>
          <w:p w:rsidR="009C06AE" w:rsidRPr="009C06AE" w:rsidRDefault="009C06AE" w:rsidP="006026FE">
            <w:pPr>
              <w:spacing w:line="276" w:lineRule="auto"/>
              <w:jc w:val="both"/>
              <w:rPr>
                <w:b/>
                <w:bCs/>
                <w:color w:val="000000"/>
              </w:rPr>
            </w:pPr>
            <w:r w:rsidRPr="009C06AE">
              <w:rPr>
                <w:b/>
                <w:bCs/>
                <w:color w:val="000000"/>
                <w:sz w:val="22"/>
                <w:szCs w:val="22"/>
              </w:rPr>
              <w:t>TOTAL</w:t>
            </w:r>
          </w:p>
        </w:tc>
        <w:tc>
          <w:tcPr>
            <w:tcW w:w="980" w:type="dxa"/>
            <w:tcBorders>
              <w:top w:val="nil"/>
              <w:left w:val="nil"/>
              <w:bottom w:val="single" w:sz="4" w:space="0" w:color="auto"/>
              <w:right w:val="single" w:sz="4" w:space="0" w:color="auto"/>
            </w:tcBorders>
            <w:shd w:val="clear" w:color="auto" w:fill="auto"/>
            <w:noWrap/>
            <w:vAlign w:val="bottom"/>
            <w:hideMark/>
          </w:tcPr>
          <w:p w:rsidR="009C06AE" w:rsidRPr="009C06AE" w:rsidRDefault="009C06AE" w:rsidP="006026FE">
            <w:pPr>
              <w:spacing w:line="276" w:lineRule="auto"/>
              <w:jc w:val="both"/>
              <w:rPr>
                <w:b/>
                <w:bCs/>
                <w:color w:val="000000"/>
              </w:rPr>
            </w:pPr>
            <w:r w:rsidRPr="009C06AE">
              <w:rPr>
                <w:b/>
                <w:bCs/>
                <w:color w:val="000000"/>
                <w:sz w:val="22"/>
                <w:szCs w:val="22"/>
              </w:rPr>
              <w:t>195</w:t>
            </w:r>
          </w:p>
        </w:tc>
        <w:tc>
          <w:tcPr>
            <w:tcW w:w="1577" w:type="dxa"/>
            <w:tcBorders>
              <w:top w:val="nil"/>
              <w:left w:val="nil"/>
              <w:bottom w:val="single" w:sz="4" w:space="0" w:color="auto"/>
              <w:right w:val="single" w:sz="4" w:space="0" w:color="auto"/>
            </w:tcBorders>
            <w:shd w:val="clear" w:color="auto" w:fill="auto"/>
            <w:noWrap/>
            <w:vAlign w:val="bottom"/>
            <w:hideMark/>
          </w:tcPr>
          <w:p w:rsidR="009C06AE" w:rsidRPr="009C06AE" w:rsidRDefault="009C06AE" w:rsidP="006026FE">
            <w:pPr>
              <w:spacing w:line="276" w:lineRule="auto"/>
              <w:jc w:val="both"/>
              <w:rPr>
                <w:b/>
                <w:bCs/>
                <w:color w:val="000000"/>
              </w:rPr>
            </w:pPr>
            <w:r w:rsidRPr="009C06AE">
              <w:rPr>
                <w:b/>
                <w:bCs/>
                <w:color w:val="000000"/>
                <w:sz w:val="22"/>
                <w:szCs w:val="22"/>
              </w:rPr>
              <w:t>58 254 986 069</w:t>
            </w:r>
          </w:p>
        </w:tc>
        <w:tc>
          <w:tcPr>
            <w:tcW w:w="943" w:type="dxa"/>
            <w:tcBorders>
              <w:top w:val="nil"/>
              <w:left w:val="nil"/>
              <w:bottom w:val="single" w:sz="4" w:space="0" w:color="auto"/>
              <w:right w:val="single" w:sz="4" w:space="0" w:color="auto"/>
            </w:tcBorders>
            <w:shd w:val="clear" w:color="auto" w:fill="auto"/>
            <w:noWrap/>
            <w:vAlign w:val="bottom"/>
            <w:hideMark/>
          </w:tcPr>
          <w:p w:rsidR="009C06AE" w:rsidRPr="009C06AE" w:rsidRDefault="009C06AE" w:rsidP="006026FE">
            <w:pPr>
              <w:spacing w:line="276" w:lineRule="auto"/>
              <w:jc w:val="both"/>
              <w:rPr>
                <w:b/>
                <w:bCs/>
                <w:color w:val="000000"/>
              </w:rPr>
            </w:pPr>
            <w:r w:rsidRPr="009C06AE">
              <w:rPr>
                <w:b/>
                <w:bCs/>
                <w:color w:val="000000"/>
                <w:sz w:val="22"/>
                <w:szCs w:val="22"/>
              </w:rPr>
              <w:t>176</w:t>
            </w:r>
          </w:p>
        </w:tc>
        <w:tc>
          <w:tcPr>
            <w:tcW w:w="1657" w:type="dxa"/>
            <w:tcBorders>
              <w:top w:val="nil"/>
              <w:left w:val="nil"/>
              <w:bottom w:val="single" w:sz="4" w:space="0" w:color="auto"/>
              <w:right w:val="single" w:sz="4" w:space="0" w:color="auto"/>
            </w:tcBorders>
            <w:shd w:val="clear" w:color="auto" w:fill="auto"/>
            <w:noWrap/>
            <w:vAlign w:val="bottom"/>
            <w:hideMark/>
          </w:tcPr>
          <w:p w:rsidR="009C06AE" w:rsidRPr="009C06AE" w:rsidRDefault="009C06AE" w:rsidP="006026FE">
            <w:pPr>
              <w:spacing w:line="276" w:lineRule="auto"/>
              <w:jc w:val="both"/>
              <w:rPr>
                <w:b/>
                <w:bCs/>
                <w:color w:val="000000"/>
              </w:rPr>
            </w:pPr>
            <w:r w:rsidRPr="009C06AE">
              <w:rPr>
                <w:b/>
                <w:bCs/>
                <w:color w:val="000000"/>
                <w:sz w:val="22"/>
                <w:szCs w:val="22"/>
              </w:rPr>
              <w:t>57 760 834 088</w:t>
            </w:r>
          </w:p>
        </w:tc>
        <w:tc>
          <w:tcPr>
            <w:tcW w:w="940" w:type="dxa"/>
            <w:tcBorders>
              <w:top w:val="nil"/>
              <w:left w:val="nil"/>
              <w:bottom w:val="single" w:sz="4" w:space="0" w:color="auto"/>
              <w:right w:val="single" w:sz="4" w:space="0" w:color="auto"/>
            </w:tcBorders>
            <w:shd w:val="clear" w:color="auto" w:fill="auto"/>
            <w:noWrap/>
            <w:vAlign w:val="bottom"/>
            <w:hideMark/>
          </w:tcPr>
          <w:p w:rsidR="009C06AE" w:rsidRPr="009C06AE" w:rsidRDefault="009C06AE" w:rsidP="006026FE">
            <w:pPr>
              <w:spacing w:line="276" w:lineRule="auto"/>
              <w:jc w:val="both"/>
              <w:rPr>
                <w:b/>
                <w:bCs/>
                <w:color w:val="000000"/>
              </w:rPr>
            </w:pPr>
            <w:r w:rsidRPr="009C06AE">
              <w:rPr>
                <w:b/>
                <w:bCs/>
                <w:color w:val="000000"/>
                <w:sz w:val="22"/>
                <w:szCs w:val="22"/>
              </w:rPr>
              <w:t>90,26%</w:t>
            </w:r>
          </w:p>
        </w:tc>
        <w:tc>
          <w:tcPr>
            <w:tcW w:w="940" w:type="dxa"/>
            <w:tcBorders>
              <w:top w:val="nil"/>
              <w:left w:val="nil"/>
              <w:bottom w:val="single" w:sz="4" w:space="0" w:color="auto"/>
              <w:right w:val="single" w:sz="4" w:space="0" w:color="auto"/>
            </w:tcBorders>
            <w:shd w:val="clear" w:color="auto" w:fill="auto"/>
            <w:noWrap/>
            <w:vAlign w:val="bottom"/>
            <w:hideMark/>
          </w:tcPr>
          <w:p w:rsidR="009C06AE" w:rsidRPr="009C06AE" w:rsidRDefault="009C06AE" w:rsidP="006026FE">
            <w:pPr>
              <w:spacing w:line="276" w:lineRule="auto"/>
              <w:jc w:val="both"/>
              <w:rPr>
                <w:b/>
                <w:bCs/>
                <w:color w:val="000000"/>
              </w:rPr>
            </w:pPr>
            <w:r w:rsidRPr="009C06AE">
              <w:rPr>
                <w:b/>
                <w:bCs/>
                <w:color w:val="000000"/>
                <w:sz w:val="22"/>
                <w:szCs w:val="22"/>
              </w:rPr>
              <w:t>99,15%</w:t>
            </w:r>
          </w:p>
        </w:tc>
      </w:tr>
    </w:tbl>
    <w:p w:rsidR="005E2402" w:rsidRDefault="005E2402" w:rsidP="006026FE">
      <w:pPr>
        <w:autoSpaceDE w:val="0"/>
        <w:autoSpaceDN w:val="0"/>
        <w:adjustRightInd w:val="0"/>
        <w:spacing w:line="276" w:lineRule="auto"/>
        <w:jc w:val="both"/>
      </w:pPr>
    </w:p>
    <w:p w:rsidR="005E2402" w:rsidRDefault="005E2402" w:rsidP="006026FE">
      <w:pPr>
        <w:autoSpaceDE w:val="0"/>
        <w:autoSpaceDN w:val="0"/>
        <w:adjustRightInd w:val="0"/>
        <w:spacing w:line="276" w:lineRule="auto"/>
        <w:jc w:val="both"/>
      </w:pPr>
      <w:r w:rsidRPr="000528C4">
        <w:t xml:space="preserve">La répartition de notre échantillon par autorité contractante </w:t>
      </w:r>
      <w:r>
        <w:t>et par catégorie de marchés se présente comme suit :</w:t>
      </w:r>
    </w:p>
    <w:tbl>
      <w:tblPr>
        <w:tblW w:w="8022" w:type="dxa"/>
        <w:tblInd w:w="-10" w:type="dxa"/>
        <w:tblCellMar>
          <w:left w:w="70" w:type="dxa"/>
          <w:right w:w="70" w:type="dxa"/>
        </w:tblCellMar>
        <w:tblLook w:val="04A0" w:firstRow="1" w:lastRow="0" w:firstColumn="1" w:lastColumn="0" w:noHBand="0" w:noVBand="1"/>
      </w:tblPr>
      <w:tblGrid>
        <w:gridCol w:w="1527"/>
        <w:gridCol w:w="1734"/>
        <w:gridCol w:w="1184"/>
        <w:gridCol w:w="1220"/>
        <w:gridCol w:w="1173"/>
        <w:gridCol w:w="1184"/>
      </w:tblGrid>
      <w:tr w:rsidR="009F2694" w:rsidRPr="009F2694" w:rsidTr="009F2694">
        <w:trPr>
          <w:trHeight w:val="330"/>
        </w:trPr>
        <w:tc>
          <w:tcPr>
            <w:tcW w:w="15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F2694" w:rsidRPr="009F2694" w:rsidRDefault="009F2694" w:rsidP="006026FE">
            <w:pPr>
              <w:spacing w:line="276" w:lineRule="auto"/>
              <w:jc w:val="both"/>
              <w:rPr>
                <w:b/>
                <w:bCs/>
                <w:color w:val="000000"/>
              </w:rPr>
            </w:pPr>
            <w:r w:rsidRPr="009F2694">
              <w:rPr>
                <w:b/>
                <w:bCs/>
                <w:color w:val="000000"/>
              </w:rPr>
              <w:t>Autorités contractantes</w:t>
            </w:r>
          </w:p>
        </w:tc>
        <w:tc>
          <w:tcPr>
            <w:tcW w:w="5311"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9F2694" w:rsidRPr="009F2694" w:rsidRDefault="009F2694" w:rsidP="006026FE">
            <w:pPr>
              <w:spacing w:line="276" w:lineRule="auto"/>
              <w:jc w:val="both"/>
              <w:rPr>
                <w:b/>
                <w:bCs/>
                <w:color w:val="000000"/>
              </w:rPr>
            </w:pPr>
            <w:r w:rsidRPr="009F2694">
              <w:rPr>
                <w:b/>
                <w:bCs/>
                <w:color w:val="000000"/>
              </w:rPr>
              <w:t>Nombre de marchés par tranche</w:t>
            </w:r>
          </w:p>
        </w:tc>
        <w:tc>
          <w:tcPr>
            <w:tcW w:w="11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F2694" w:rsidRPr="009F2694" w:rsidRDefault="009F2694" w:rsidP="006026FE">
            <w:pPr>
              <w:spacing w:line="276" w:lineRule="auto"/>
              <w:jc w:val="both"/>
              <w:rPr>
                <w:b/>
                <w:bCs/>
                <w:color w:val="000000"/>
              </w:rPr>
            </w:pPr>
            <w:r w:rsidRPr="009F2694">
              <w:rPr>
                <w:b/>
                <w:bCs/>
                <w:color w:val="000000"/>
              </w:rPr>
              <w:t>Nombre Total</w:t>
            </w:r>
          </w:p>
        </w:tc>
      </w:tr>
      <w:tr w:rsidR="009F2694" w:rsidRPr="009F2694" w:rsidTr="009F2694">
        <w:trPr>
          <w:trHeight w:val="458"/>
        </w:trPr>
        <w:tc>
          <w:tcPr>
            <w:tcW w:w="1527" w:type="dxa"/>
            <w:vMerge/>
            <w:tcBorders>
              <w:top w:val="single" w:sz="8" w:space="0" w:color="auto"/>
              <w:left w:val="single" w:sz="8" w:space="0" w:color="auto"/>
              <w:bottom w:val="single" w:sz="8" w:space="0" w:color="000000"/>
              <w:right w:val="single" w:sz="8" w:space="0" w:color="auto"/>
            </w:tcBorders>
            <w:vAlign w:val="center"/>
            <w:hideMark/>
          </w:tcPr>
          <w:p w:rsidR="009F2694" w:rsidRPr="009F2694" w:rsidRDefault="009F2694" w:rsidP="006026FE">
            <w:pPr>
              <w:spacing w:line="276" w:lineRule="auto"/>
              <w:jc w:val="both"/>
              <w:rPr>
                <w:b/>
                <w:bCs/>
                <w:color w:val="000000"/>
              </w:rPr>
            </w:pPr>
          </w:p>
        </w:tc>
        <w:tc>
          <w:tcPr>
            <w:tcW w:w="5311" w:type="dxa"/>
            <w:gridSpan w:val="4"/>
            <w:vMerge/>
            <w:tcBorders>
              <w:top w:val="single" w:sz="8" w:space="0" w:color="auto"/>
              <w:left w:val="single" w:sz="8" w:space="0" w:color="auto"/>
              <w:bottom w:val="single" w:sz="8" w:space="0" w:color="000000"/>
              <w:right w:val="single" w:sz="8" w:space="0" w:color="000000"/>
            </w:tcBorders>
            <w:vAlign w:val="center"/>
            <w:hideMark/>
          </w:tcPr>
          <w:p w:rsidR="009F2694" w:rsidRPr="009F2694" w:rsidRDefault="009F2694" w:rsidP="006026FE">
            <w:pPr>
              <w:spacing w:line="276" w:lineRule="auto"/>
              <w:jc w:val="both"/>
              <w:rPr>
                <w:b/>
                <w:bCs/>
                <w:color w:val="000000"/>
              </w:rPr>
            </w:pPr>
          </w:p>
        </w:tc>
        <w:tc>
          <w:tcPr>
            <w:tcW w:w="1184" w:type="dxa"/>
            <w:vMerge/>
            <w:tcBorders>
              <w:top w:val="single" w:sz="8" w:space="0" w:color="auto"/>
              <w:left w:val="single" w:sz="8" w:space="0" w:color="auto"/>
              <w:bottom w:val="single" w:sz="8" w:space="0" w:color="000000"/>
              <w:right w:val="single" w:sz="8" w:space="0" w:color="auto"/>
            </w:tcBorders>
            <w:vAlign w:val="center"/>
            <w:hideMark/>
          </w:tcPr>
          <w:p w:rsidR="009F2694" w:rsidRPr="009F2694" w:rsidRDefault="009F2694" w:rsidP="006026FE">
            <w:pPr>
              <w:spacing w:line="276" w:lineRule="auto"/>
              <w:jc w:val="both"/>
              <w:rPr>
                <w:b/>
                <w:bCs/>
                <w:color w:val="000000"/>
              </w:rPr>
            </w:pPr>
          </w:p>
        </w:tc>
      </w:tr>
      <w:tr w:rsidR="009F2694" w:rsidRPr="009F2694" w:rsidTr="007F3594">
        <w:trPr>
          <w:trHeight w:val="945"/>
        </w:trPr>
        <w:tc>
          <w:tcPr>
            <w:tcW w:w="1527" w:type="dxa"/>
            <w:vMerge/>
            <w:tcBorders>
              <w:top w:val="single" w:sz="8" w:space="0" w:color="auto"/>
              <w:left w:val="single" w:sz="8" w:space="0" w:color="auto"/>
              <w:bottom w:val="single" w:sz="8" w:space="0" w:color="000000"/>
              <w:right w:val="single" w:sz="8" w:space="0" w:color="auto"/>
            </w:tcBorders>
            <w:vAlign w:val="center"/>
            <w:hideMark/>
          </w:tcPr>
          <w:p w:rsidR="009F2694" w:rsidRPr="009F2694" w:rsidRDefault="009F2694" w:rsidP="006026FE">
            <w:pPr>
              <w:spacing w:line="276" w:lineRule="auto"/>
              <w:jc w:val="both"/>
              <w:rPr>
                <w:b/>
                <w:bCs/>
                <w:color w:val="000000"/>
              </w:rPr>
            </w:pPr>
          </w:p>
        </w:tc>
        <w:tc>
          <w:tcPr>
            <w:tcW w:w="1734" w:type="dxa"/>
            <w:vMerge w:val="restart"/>
            <w:tcBorders>
              <w:top w:val="nil"/>
              <w:left w:val="single" w:sz="8" w:space="0" w:color="auto"/>
              <w:bottom w:val="single" w:sz="8" w:space="0" w:color="000000"/>
              <w:right w:val="single" w:sz="8" w:space="0" w:color="auto"/>
            </w:tcBorders>
            <w:shd w:val="clear" w:color="auto" w:fill="auto"/>
            <w:vAlign w:val="center"/>
            <w:hideMark/>
          </w:tcPr>
          <w:p w:rsidR="009F2694" w:rsidRPr="009F2694" w:rsidRDefault="009F2694" w:rsidP="007F3594">
            <w:pPr>
              <w:spacing w:line="276" w:lineRule="auto"/>
              <w:jc w:val="center"/>
              <w:rPr>
                <w:b/>
                <w:bCs/>
                <w:color w:val="000000"/>
              </w:rPr>
            </w:pPr>
            <w:r w:rsidRPr="009F2694">
              <w:rPr>
                <w:b/>
                <w:bCs/>
                <w:color w:val="000000"/>
              </w:rPr>
              <w:t>Entente directe (1)</w:t>
            </w:r>
          </w:p>
        </w:tc>
        <w:tc>
          <w:tcPr>
            <w:tcW w:w="1184" w:type="dxa"/>
            <w:tcBorders>
              <w:top w:val="nil"/>
              <w:left w:val="nil"/>
              <w:bottom w:val="nil"/>
              <w:right w:val="single" w:sz="8" w:space="0" w:color="auto"/>
            </w:tcBorders>
            <w:shd w:val="clear" w:color="auto" w:fill="auto"/>
            <w:vAlign w:val="center"/>
            <w:hideMark/>
          </w:tcPr>
          <w:p w:rsidR="009F2694" w:rsidRPr="009F2694" w:rsidRDefault="009F2694" w:rsidP="007F3594">
            <w:pPr>
              <w:spacing w:line="276" w:lineRule="auto"/>
              <w:jc w:val="center"/>
              <w:rPr>
                <w:b/>
                <w:bCs/>
                <w:color w:val="000000"/>
              </w:rPr>
            </w:pPr>
            <w:r w:rsidRPr="009F2694">
              <w:rPr>
                <w:b/>
                <w:bCs/>
                <w:color w:val="000000"/>
              </w:rPr>
              <w:t>entre 300 et 500 Millions</w:t>
            </w:r>
          </w:p>
        </w:tc>
        <w:tc>
          <w:tcPr>
            <w:tcW w:w="1220" w:type="dxa"/>
            <w:vMerge w:val="restart"/>
            <w:tcBorders>
              <w:top w:val="nil"/>
              <w:left w:val="single" w:sz="8" w:space="0" w:color="auto"/>
              <w:bottom w:val="single" w:sz="8" w:space="0" w:color="000000"/>
              <w:right w:val="single" w:sz="8" w:space="0" w:color="auto"/>
            </w:tcBorders>
            <w:shd w:val="clear" w:color="auto" w:fill="auto"/>
            <w:vAlign w:val="center"/>
            <w:hideMark/>
          </w:tcPr>
          <w:p w:rsidR="009F2694" w:rsidRPr="009F2694" w:rsidRDefault="009F2694" w:rsidP="007F3594">
            <w:pPr>
              <w:spacing w:line="276" w:lineRule="auto"/>
              <w:jc w:val="center"/>
              <w:rPr>
                <w:b/>
                <w:bCs/>
                <w:color w:val="000000"/>
              </w:rPr>
            </w:pPr>
            <w:r w:rsidRPr="009F2694">
              <w:rPr>
                <w:b/>
                <w:bCs/>
                <w:color w:val="000000"/>
              </w:rPr>
              <w:t>supérieurs à 500 Millions (3)</w:t>
            </w:r>
          </w:p>
        </w:tc>
        <w:tc>
          <w:tcPr>
            <w:tcW w:w="1173" w:type="dxa"/>
            <w:tcBorders>
              <w:top w:val="nil"/>
              <w:left w:val="nil"/>
              <w:bottom w:val="nil"/>
              <w:right w:val="single" w:sz="8" w:space="0" w:color="auto"/>
            </w:tcBorders>
            <w:shd w:val="clear" w:color="auto" w:fill="auto"/>
            <w:vAlign w:val="center"/>
            <w:hideMark/>
          </w:tcPr>
          <w:p w:rsidR="009F2694" w:rsidRPr="009F2694" w:rsidRDefault="009F2694" w:rsidP="007F3594">
            <w:pPr>
              <w:spacing w:line="276" w:lineRule="auto"/>
              <w:jc w:val="center"/>
              <w:rPr>
                <w:b/>
                <w:bCs/>
                <w:color w:val="000000"/>
              </w:rPr>
            </w:pPr>
            <w:r w:rsidRPr="009F2694">
              <w:rPr>
                <w:b/>
                <w:bCs/>
                <w:color w:val="000000"/>
              </w:rPr>
              <w:t>Autres</w:t>
            </w:r>
          </w:p>
        </w:tc>
        <w:tc>
          <w:tcPr>
            <w:tcW w:w="1184" w:type="dxa"/>
            <w:tcBorders>
              <w:top w:val="nil"/>
              <w:left w:val="nil"/>
              <w:bottom w:val="nil"/>
              <w:right w:val="single" w:sz="8" w:space="0" w:color="auto"/>
            </w:tcBorders>
            <w:shd w:val="clear" w:color="auto" w:fill="auto"/>
            <w:vAlign w:val="center"/>
            <w:hideMark/>
          </w:tcPr>
          <w:p w:rsidR="009F2694" w:rsidRPr="009F2694" w:rsidRDefault="009F2694" w:rsidP="007F3594">
            <w:pPr>
              <w:spacing w:line="276" w:lineRule="auto"/>
              <w:jc w:val="center"/>
              <w:rPr>
                <w:b/>
                <w:bCs/>
                <w:color w:val="000000"/>
              </w:rPr>
            </w:pPr>
            <w:r w:rsidRPr="009F2694">
              <w:rPr>
                <w:b/>
                <w:bCs/>
                <w:color w:val="000000"/>
              </w:rPr>
              <w:t>(5)=</w:t>
            </w:r>
          </w:p>
        </w:tc>
      </w:tr>
      <w:tr w:rsidR="009F2694" w:rsidRPr="009F2694" w:rsidTr="007F3594">
        <w:trPr>
          <w:trHeight w:val="645"/>
        </w:trPr>
        <w:tc>
          <w:tcPr>
            <w:tcW w:w="1527" w:type="dxa"/>
            <w:vMerge/>
            <w:tcBorders>
              <w:top w:val="single" w:sz="8" w:space="0" w:color="auto"/>
              <w:left w:val="single" w:sz="8" w:space="0" w:color="auto"/>
              <w:bottom w:val="single" w:sz="8" w:space="0" w:color="000000"/>
              <w:right w:val="single" w:sz="8" w:space="0" w:color="auto"/>
            </w:tcBorders>
            <w:vAlign w:val="center"/>
            <w:hideMark/>
          </w:tcPr>
          <w:p w:rsidR="009F2694" w:rsidRPr="009F2694" w:rsidRDefault="009F2694" w:rsidP="006026FE">
            <w:pPr>
              <w:spacing w:line="276" w:lineRule="auto"/>
              <w:jc w:val="both"/>
              <w:rPr>
                <w:b/>
                <w:bCs/>
                <w:color w:val="000000"/>
              </w:rPr>
            </w:pPr>
          </w:p>
        </w:tc>
        <w:tc>
          <w:tcPr>
            <w:tcW w:w="1734" w:type="dxa"/>
            <w:vMerge/>
            <w:tcBorders>
              <w:top w:val="nil"/>
              <w:left w:val="single" w:sz="8" w:space="0" w:color="auto"/>
              <w:bottom w:val="single" w:sz="8" w:space="0" w:color="000000"/>
              <w:right w:val="single" w:sz="8" w:space="0" w:color="auto"/>
            </w:tcBorders>
            <w:vAlign w:val="center"/>
            <w:hideMark/>
          </w:tcPr>
          <w:p w:rsidR="009F2694" w:rsidRPr="009F2694" w:rsidRDefault="009F2694" w:rsidP="007F3594">
            <w:pPr>
              <w:spacing w:line="276" w:lineRule="auto"/>
              <w:jc w:val="center"/>
              <w:rPr>
                <w:b/>
                <w:bCs/>
                <w:color w:val="000000"/>
              </w:rPr>
            </w:pPr>
          </w:p>
        </w:tc>
        <w:tc>
          <w:tcPr>
            <w:tcW w:w="118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b/>
                <w:bCs/>
                <w:color w:val="000000"/>
              </w:rPr>
            </w:pPr>
            <w:r>
              <w:rPr>
                <w:b/>
                <w:bCs/>
                <w:color w:val="000000"/>
              </w:rPr>
              <w:t>(</w:t>
            </w:r>
            <w:r w:rsidRPr="009F2694">
              <w:rPr>
                <w:b/>
                <w:bCs/>
                <w:color w:val="000000"/>
              </w:rPr>
              <w:t>2</w:t>
            </w:r>
            <w:r>
              <w:rPr>
                <w:b/>
                <w:bCs/>
                <w:color w:val="000000"/>
              </w:rPr>
              <w:t>)</w:t>
            </w:r>
          </w:p>
        </w:tc>
        <w:tc>
          <w:tcPr>
            <w:tcW w:w="1220" w:type="dxa"/>
            <w:vMerge/>
            <w:tcBorders>
              <w:top w:val="nil"/>
              <w:left w:val="single" w:sz="8" w:space="0" w:color="auto"/>
              <w:bottom w:val="single" w:sz="8" w:space="0" w:color="000000"/>
              <w:right w:val="single" w:sz="8" w:space="0" w:color="auto"/>
            </w:tcBorders>
            <w:vAlign w:val="center"/>
            <w:hideMark/>
          </w:tcPr>
          <w:p w:rsidR="009F2694" w:rsidRPr="009F2694" w:rsidRDefault="009F2694" w:rsidP="007F3594">
            <w:pPr>
              <w:spacing w:line="276" w:lineRule="auto"/>
              <w:jc w:val="center"/>
              <w:rPr>
                <w:b/>
                <w:bCs/>
                <w:color w:val="000000"/>
              </w:rPr>
            </w:pPr>
          </w:p>
        </w:tc>
        <w:tc>
          <w:tcPr>
            <w:tcW w:w="1173"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b/>
                <w:bCs/>
                <w:color w:val="000000"/>
              </w:rPr>
            </w:pPr>
            <w:r>
              <w:rPr>
                <w:b/>
                <w:bCs/>
                <w:color w:val="000000"/>
              </w:rPr>
              <w:t>(</w:t>
            </w:r>
            <w:r w:rsidRPr="009F2694">
              <w:rPr>
                <w:b/>
                <w:bCs/>
                <w:color w:val="000000"/>
              </w:rPr>
              <w:t>4</w:t>
            </w:r>
            <w:r>
              <w:rPr>
                <w:b/>
                <w:bCs/>
                <w:color w:val="000000"/>
              </w:rPr>
              <w:t>)</w:t>
            </w:r>
          </w:p>
        </w:tc>
        <w:tc>
          <w:tcPr>
            <w:tcW w:w="118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b/>
                <w:bCs/>
                <w:color w:val="000000"/>
              </w:rPr>
            </w:pPr>
            <w:r w:rsidRPr="009F2694">
              <w:rPr>
                <w:b/>
                <w:bCs/>
                <w:color w:val="000000"/>
              </w:rPr>
              <w:t>(1) + (2) + (3) +(4)</w:t>
            </w:r>
          </w:p>
        </w:tc>
      </w:tr>
      <w:tr w:rsidR="009F2694" w:rsidRPr="009F2694" w:rsidTr="007F3594">
        <w:trPr>
          <w:trHeight w:val="330"/>
        </w:trPr>
        <w:tc>
          <w:tcPr>
            <w:tcW w:w="1527" w:type="dxa"/>
            <w:tcBorders>
              <w:top w:val="nil"/>
              <w:left w:val="single" w:sz="8" w:space="0" w:color="auto"/>
              <w:bottom w:val="single" w:sz="8" w:space="0" w:color="auto"/>
              <w:right w:val="single" w:sz="8" w:space="0" w:color="auto"/>
            </w:tcBorders>
            <w:shd w:val="clear" w:color="auto" w:fill="auto"/>
            <w:vAlign w:val="center"/>
            <w:hideMark/>
          </w:tcPr>
          <w:p w:rsidR="009F2694" w:rsidRPr="009F2694" w:rsidRDefault="009F2694" w:rsidP="006026FE">
            <w:pPr>
              <w:spacing w:line="276" w:lineRule="auto"/>
              <w:jc w:val="both"/>
              <w:rPr>
                <w:color w:val="000000"/>
              </w:rPr>
            </w:pPr>
            <w:r w:rsidRPr="009F2694">
              <w:rPr>
                <w:color w:val="000000"/>
              </w:rPr>
              <w:t> CA</w:t>
            </w:r>
          </w:p>
        </w:tc>
        <w:tc>
          <w:tcPr>
            <w:tcW w:w="173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p>
        </w:tc>
        <w:tc>
          <w:tcPr>
            <w:tcW w:w="118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r w:rsidRPr="009F2694">
              <w:rPr>
                <w:color w:val="000000"/>
              </w:rPr>
              <w:t>5</w:t>
            </w:r>
          </w:p>
        </w:tc>
        <w:tc>
          <w:tcPr>
            <w:tcW w:w="1220"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r w:rsidRPr="009F2694">
              <w:rPr>
                <w:color w:val="000000"/>
              </w:rPr>
              <w:t>7</w:t>
            </w:r>
          </w:p>
        </w:tc>
        <w:tc>
          <w:tcPr>
            <w:tcW w:w="1173"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r w:rsidRPr="009F2694">
              <w:rPr>
                <w:color w:val="000000"/>
              </w:rPr>
              <w:t>8</w:t>
            </w:r>
          </w:p>
        </w:tc>
        <w:tc>
          <w:tcPr>
            <w:tcW w:w="118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b/>
                <w:bCs/>
                <w:color w:val="000000"/>
              </w:rPr>
            </w:pPr>
            <w:r w:rsidRPr="009F2694">
              <w:rPr>
                <w:b/>
                <w:bCs/>
                <w:color w:val="000000"/>
              </w:rPr>
              <w:t>20</w:t>
            </w:r>
          </w:p>
        </w:tc>
      </w:tr>
      <w:tr w:rsidR="009F2694" w:rsidRPr="009F2694" w:rsidTr="007F3594">
        <w:trPr>
          <w:trHeight w:val="330"/>
        </w:trPr>
        <w:tc>
          <w:tcPr>
            <w:tcW w:w="1527" w:type="dxa"/>
            <w:tcBorders>
              <w:top w:val="nil"/>
              <w:left w:val="single" w:sz="8" w:space="0" w:color="auto"/>
              <w:bottom w:val="single" w:sz="8" w:space="0" w:color="auto"/>
              <w:right w:val="single" w:sz="8" w:space="0" w:color="auto"/>
            </w:tcBorders>
            <w:shd w:val="clear" w:color="auto" w:fill="auto"/>
            <w:vAlign w:val="center"/>
            <w:hideMark/>
          </w:tcPr>
          <w:p w:rsidR="009F2694" w:rsidRPr="009F2694" w:rsidRDefault="009F2694" w:rsidP="006026FE">
            <w:pPr>
              <w:spacing w:line="276" w:lineRule="auto"/>
              <w:jc w:val="both"/>
              <w:rPr>
                <w:color w:val="000000"/>
              </w:rPr>
            </w:pPr>
            <w:r w:rsidRPr="009F2694">
              <w:rPr>
                <w:color w:val="000000"/>
              </w:rPr>
              <w:t> ONEP</w:t>
            </w:r>
          </w:p>
        </w:tc>
        <w:tc>
          <w:tcPr>
            <w:tcW w:w="173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p>
        </w:tc>
        <w:tc>
          <w:tcPr>
            <w:tcW w:w="118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p>
        </w:tc>
        <w:tc>
          <w:tcPr>
            <w:tcW w:w="1220"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p>
        </w:tc>
        <w:tc>
          <w:tcPr>
            <w:tcW w:w="1173"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r w:rsidRPr="009F2694">
              <w:rPr>
                <w:color w:val="000000"/>
              </w:rPr>
              <w:t>7</w:t>
            </w:r>
          </w:p>
        </w:tc>
        <w:tc>
          <w:tcPr>
            <w:tcW w:w="118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b/>
                <w:bCs/>
                <w:color w:val="000000"/>
              </w:rPr>
            </w:pPr>
            <w:r w:rsidRPr="009F2694">
              <w:rPr>
                <w:b/>
                <w:bCs/>
                <w:color w:val="000000"/>
              </w:rPr>
              <w:t>7</w:t>
            </w:r>
          </w:p>
        </w:tc>
      </w:tr>
      <w:tr w:rsidR="009F2694" w:rsidRPr="009F2694" w:rsidTr="007F3594">
        <w:trPr>
          <w:trHeight w:val="330"/>
        </w:trPr>
        <w:tc>
          <w:tcPr>
            <w:tcW w:w="1527" w:type="dxa"/>
            <w:tcBorders>
              <w:top w:val="nil"/>
              <w:left w:val="single" w:sz="8" w:space="0" w:color="auto"/>
              <w:bottom w:val="single" w:sz="8" w:space="0" w:color="auto"/>
              <w:right w:val="single" w:sz="8" w:space="0" w:color="auto"/>
            </w:tcBorders>
            <w:shd w:val="clear" w:color="auto" w:fill="auto"/>
            <w:vAlign w:val="center"/>
            <w:hideMark/>
          </w:tcPr>
          <w:p w:rsidR="009F2694" w:rsidRPr="009F2694" w:rsidRDefault="009F2694" w:rsidP="006026FE">
            <w:pPr>
              <w:spacing w:line="276" w:lineRule="auto"/>
              <w:jc w:val="both"/>
              <w:rPr>
                <w:color w:val="000000"/>
              </w:rPr>
            </w:pPr>
            <w:r w:rsidRPr="009F2694">
              <w:rPr>
                <w:color w:val="000000"/>
              </w:rPr>
              <w:t> SONIDEP</w:t>
            </w:r>
          </w:p>
        </w:tc>
        <w:tc>
          <w:tcPr>
            <w:tcW w:w="173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r w:rsidRPr="009F2694">
              <w:rPr>
                <w:color w:val="000000"/>
              </w:rPr>
              <w:t>2</w:t>
            </w:r>
          </w:p>
        </w:tc>
        <w:tc>
          <w:tcPr>
            <w:tcW w:w="118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p>
        </w:tc>
        <w:tc>
          <w:tcPr>
            <w:tcW w:w="1220"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r w:rsidRPr="009F2694">
              <w:rPr>
                <w:color w:val="000000"/>
              </w:rPr>
              <w:t>3</w:t>
            </w:r>
          </w:p>
        </w:tc>
        <w:tc>
          <w:tcPr>
            <w:tcW w:w="1173"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r w:rsidRPr="009F2694">
              <w:rPr>
                <w:color w:val="000000"/>
              </w:rPr>
              <w:t>31</w:t>
            </w:r>
          </w:p>
        </w:tc>
        <w:tc>
          <w:tcPr>
            <w:tcW w:w="118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b/>
                <w:bCs/>
                <w:color w:val="000000"/>
              </w:rPr>
            </w:pPr>
            <w:r w:rsidRPr="009F2694">
              <w:rPr>
                <w:b/>
                <w:bCs/>
                <w:color w:val="000000"/>
              </w:rPr>
              <w:t>36</w:t>
            </w:r>
          </w:p>
        </w:tc>
      </w:tr>
      <w:tr w:rsidR="009F2694" w:rsidRPr="009F2694" w:rsidTr="007F3594">
        <w:trPr>
          <w:trHeight w:val="330"/>
        </w:trPr>
        <w:tc>
          <w:tcPr>
            <w:tcW w:w="1527" w:type="dxa"/>
            <w:tcBorders>
              <w:top w:val="nil"/>
              <w:left w:val="single" w:sz="8" w:space="0" w:color="auto"/>
              <w:bottom w:val="single" w:sz="8" w:space="0" w:color="auto"/>
              <w:right w:val="single" w:sz="8" w:space="0" w:color="auto"/>
            </w:tcBorders>
            <w:shd w:val="clear" w:color="auto" w:fill="auto"/>
            <w:vAlign w:val="center"/>
            <w:hideMark/>
          </w:tcPr>
          <w:p w:rsidR="009F2694" w:rsidRPr="009F2694" w:rsidRDefault="009F2694" w:rsidP="006026FE">
            <w:pPr>
              <w:spacing w:line="276" w:lineRule="auto"/>
              <w:jc w:val="both"/>
              <w:rPr>
                <w:color w:val="000000"/>
              </w:rPr>
            </w:pPr>
            <w:r w:rsidRPr="009F2694">
              <w:rPr>
                <w:color w:val="000000"/>
              </w:rPr>
              <w:t>CAFER</w:t>
            </w:r>
          </w:p>
        </w:tc>
        <w:tc>
          <w:tcPr>
            <w:tcW w:w="173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p>
        </w:tc>
        <w:tc>
          <w:tcPr>
            <w:tcW w:w="118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r w:rsidRPr="009F2694">
              <w:rPr>
                <w:color w:val="000000"/>
              </w:rPr>
              <w:t>4</w:t>
            </w:r>
          </w:p>
        </w:tc>
        <w:tc>
          <w:tcPr>
            <w:tcW w:w="1220"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p>
        </w:tc>
        <w:tc>
          <w:tcPr>
            <w:tcW w:w="1173"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r w:rsidRPr="009F2694">
              <w:rPr>
                <w:color w:val="000000"/>
              </w:rPr>
              <w:t>18</w:t>
            </w:r>
          </w:p>
        </w:tc>
        <w:tc>
          <w:tcPr>
            <w:tcW w:w="118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b/>
                <w:bCs/>
                <w:color w:val="000000"/>
              </w:rPr>
            </w:pPr>
            <w:r w:rsidRPr="009F2694">
              <w:rPr>
                <w:b/>
                <w:bCs/>
                <w:color w:val="000000"/>
              </w:rPr>
              <w:t>22</w:t>
            </w:r>
          </w:p>
        </w:tc>
      </w:tr>
      <w:tr w:rsidR="009F2694" w:rsidRPr="009F2694" w:rsidTr="007F3594">
        <w:trPr>
          <w:trHeight w:val="330"/>
        </w:trPr>
        <w:tc>
          <w:tcPr>
            <w:tcW w:w="1527" w:type="dxa"/>
            <w:tcBorders>
              <w:top w:val="nil"/>
              <w:left w:val="single" w:sz="8" w:space="0" w:color="auto"/>
              <w:bottom w:val="single" w:sz="8" w:space="0" w:color="auto"/>
              <w:right w:val="single" w:sz="8" w:space="0" w:color="auto"/>
            </w:tcBorders>
            <w:shd w:val="clear" w:color="auto" w:fill="auto"/>
            <w:vAlign w:val="center"/>
            <w:hideMark/>
          </w:tcPr>
          <w:p w:rsidR="009F2694" w:rsidRPr="009F2694" w:rsidRDefault="009F2694" w:rsidP="006026FE">
            <w:pPr>
              <w:spacing w:line="276" w:lineRule="auto"/>
              <w:jc w:val="both"/>
              <w:rPr>
                <w:color w:val="000000"/>
              </w:rPr>
            </w:pPr>
            <w:r w:rsidRPr="009F2694">
              <w:rPr>
                <w:color w:val="000000"/>
              </w:rPr>
              <w:t>CCA</w:t>
            </w:r>
          </w:p>
        </w:tc>
        <w:tc>
          <w:tcPr>
            <w:tcW w:w="173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r w:rsidRPr="009F2694">
              <w:rPr>
                <w:color w:val="000000"/>
              </w:rPr>
              <w:t>21</w:t>
            </w:r>
          </w:p>
        </w:tc>
        <w:tc>
          <w:tcPr>
            <w:tcW w:w="118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p>
        </w:tc>
        <w:tc>
          <w:tcPr>
            <w:tcW w:w="1220"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p>
        </w:tc>
        <w:tc>
          <w:tcPr>
            <w:tcW w:w="1173"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p>
        </w:tc>
        <w:tc>
          <w:tcPr>
            <w:tcW w:w="118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b/>
                <w:bCs/>
                <w:color w:val="000000"/>
              </w:rPr>
            </w:pPr>
            <w:r w:rsidRPr="009F2694">
              <w:rPr>
                <w:b/>
                <w:bCs/>
                <w:color w:val="000000"/>
              </w:rPr>
              <w:t>21</w:t>
            </w:r>
          </w:p>
        </w:tc>
      </w:tr>
      <w:tr w:rsidR="009F2694" w:rsidRPr="009F2694" w:rsidTr="007F3594">
        <w:trPr>
          <w:trHeight w:val="330"/>
        </w:trPr>
        <w:tc>
          <w:tcPr>
            <w:tcW w:w="1527" w:type="dxa"/>
            <w:tcBorders>
              <w:top w:val="nil"/>
              <w:left w:val="single" w:sz="8" w:space="0" w:color="auto"/>
              <w:bottom w:val="single" w:sz="8" w:space="0" w:color="auto"/>
              <w:right w:val="single" w:sz="8" w:space="0" w:color="auto"/>
            </w:tcBorders>
            <w:shd w:val="clear" w:color="auto" w:fill="auto"/>
            <w:vAlign w:val="center"/>
            <w:hideMark/>
          </w:tcPr>
          <w:p w:rsidR="009F2694" w:rsidRPr="009F2694" w:rsidRDefault="009F2694" w:rsidP="006026FE">
            <w:pPr>
              <w:spacing w:line="276" w:lineRule="auto"/>
              <w:jc w:val="both"/>
              <w:rPr>
                <w:color w:val="000000"/>
              </w:rPr>
            </w:pPr>
            <w:r w:rsidRPr="009F2694">
              <w:rPr>
                <w:color w:val="000000"/>
              </w:rPr>
              <w:t>CCH</w:t>
            </w:r>
          </w:p>
        </w:tc>
        <w:tc>
          <w:tcPr>
            <w:tcW w:w="173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r w:rsidRPr="009F2694">
              <w:rPr>
                <w:color w:val="000000"/>
              </w:rPr>
              <w:t>9</w:t>
            </w:r>
          </w:p>
        </w:tc>
        <w:tc>
          <w:tcPr>
            <w:tcW w:w="118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p>
        </w:tc>
        <w:tc>
          <w:tcPr>
            <w:tcW w:w="1220"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p>
        </w:tc>
        <w:tc>
          <w:tcPr>
            <w:tcW w:w="1173"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p>
        </w:tc>
        <w:tc>
          <w:tcPr>
            <w:tcW w:w="118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b/>
                <w:bCs/>
                <w:color w:val="000000"/>
              </w:rPr>
            </w:pPr>
            <w:r w:rsidRPr="009F2694">
              <w:rPr>
                <w:b/>
                <w:bCs/>
                <w:color w:val="000000"/>
              </w:rPr>
              <w:t>9</w:t>
            </w:r>
          </w:p>
        </w:tc>
      </w:tr>
      <w:tr w:rsidR="009F2694" w:rsidRPr="009F2694" w:rsidTr="007F3594">
        <w:trPr>
          <w:trHeight w:val="330"/>
        </w:trPr>
        <w:tc>
          <w:tcPr>
            <w:tcW w:w="1527" w:type="dxa"/>
            <w:tcBorders>
              <w:top w:val="nil"/>
              <w:left w:val="single" w:sz="8" w:space="0" w:color="auto"/>
              <w:bottom w:val="single" w:sz="8" w:space="0" w:color="auto"/>
              <w:right w:val="single" w:sz="8" w:space="0" w:color="auto"/>
            </w:tcBorders>
            <w:shd w:val="clear" w:color="auto" w:fill="auto"/>
            <w:vAlign w:val="center"/>
            <w:hideMark/>
          </w:tcPr>
          <w:p w:rsidR="009F2694" w:rsidRPr="009F2694" w:rsidRDefault="009F2694" w:rsidP="006026FE">
            <w:pPr>
              <w:spacing w:line="276" w:lineRule="auto"/>
              <w:jc w:val="both"/>
              <w:rPr>
                <w:color w:val="000000"/>
              </w:rPr>
            </w:pPr>
            <w:r w:rsidRPr="009F2694">
              <w:rPr>
                <w:color w:val="000000"/>
              </w:rPr>
              <w:t>HCAVN</w:t>
            </w:r>
          </w:p>
        </w:tc>
        <w:tc>
          <w:tcPr>
            <w:tcW w:w="173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r w:rsidRPr="009F2694">
              <w:rPr>
                <w:color w:val="000000"/>
              </w:rPr>
              <w:t>1</w:t>
            </w:r>
          </w:p>
        </w:tc>
        <w:tc>
          <w:tcPr>
            <w:tcW w:w="118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r w:rsidRPr="009F2694">
              <w:rPr>
                <w:color w:val="000000"/>
              </w:rPr>
              <w:t>4</w:t>
            </w:r>
          </w:p>
        </w:tc>
        <w:tc>
          <w:tcPr>
            <w:tcW w:w="1220"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p>
        </w:tc>
        <w:tc>
          <w:tcPr>
            <w:tcW w:w="1173"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p>
        </w:tc>
        <w:tc>
          <w:tcPr>
            <w:tcW w:w="118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b/>
                <w:bCs/>
                <w:color w:val="000000"/>
              </w:rPr>
            </w:pPr>
            <w:r w:rsidRPr="009F2694">
              <w:rPr>
                <w:b/>
                <w:bCs/>
                <w:color w:val="000000"/>
              </w:rPr>
              <w:t>5</w:t>
            </w:r>
          </w:p>
        </w:tc>
      </w:tr>
      <w:tr w:rsidR="009F2694" w:rsidRPr="009F2694" w:rsidTr="007F3594">
        <w:trPr>
          <w:trHeight w:val="645"/>
        </w:trPr>
        <w:tc>
          <w:tcPr>
            <w:tcW w:w="1527" w:type="dxa"/>
            <w:tcBorders>
              <w:top w:val="nil"/>
              <w:left w:val="single" w:sz="8" w:space="0" w:color="auto"/>
              <w:bottom w:val="single" w:sz="8" w:space="0" w:color="auto"/>
              <w:right w:val="single" w:sz="8" w:space="0" w:color="auto"/>
            </w:tcBorders>
            <w:shd w:val="clear" w:color="auto" w:fill="auto"/>
            <w:vAlign w:val="center"/>
            <w:hideMark/>
          </w:tcPr>
          <w:p w:rsidR="009F2694" w:rsidRPr="009F2694" w:rsidRDefault="009F2694" w:rsidP="006026FE">
            <w:pPr>
              <w:spacing w:line="276" w:lineRule="auto"/>
              <w:jc w:val="both"/>
              <w:rPr>
                <w:color w:val="000000"/>
              </w:rPr>
            </w:pPr>
            <w:r w:rsidRPr="009F2694">
              <w:rPr>
                <w:color w:val="000000"/>
              </w:rPr>
              <w:t>Ville de Niamey</w:t>
            </w:r>
          </w:p>
        </w:tc>
        <w:tc>
          <w:tcPr>
            <w:tcW w:w="173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p>
        </w:tc>
        <w:tc>
          <w:tcPr>
            <w:tcW w:w="118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p>
        </w:tc>
        <w:tc>
          <w:tcPr>
            <w:tcW w:w="1220"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p>
        </w:tc>
        <w:tc>
          <w:tcPr>
            <w:tcW w:w="1173"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r w:rsidRPr="009F2694">
              <w:rPr>
                <w:color w:val="000000"/>
              </w:rPr>
              <w:t>45</w:t>
            </w:r>
          </w:p>
        </w:tc>
        <w:tc>
          <w:tcPr>
            <w:tcW w:w="118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b/>
                <w:bCs/>
                <w:color w:val="000000"/>
              </w:rPr>
            </w:pPr>
            <w:r w:rsidRPr="009F2694">
              <w:rPr>
                <w:b/>
                <w:bCs/>
                <w:color w:val="000000"/>
              </w:rPr>
              <w:t>45</w:t>
            </w:r>
          </w:p>
        </w:tc>
      </w:tr>
      <w:tr w:rsidR="009F2694" w:rsidRPr="009F2694" w:rsidTr="007F3594">
        <w:trPr>
          <w:trHeight w:val="615"/>
        </w:trPr>
        <w:tc>
          <w:tcPr>
            <w:tcW w:w="1527" w:type="dxa"/>
            <w:tcBorders>
              <w:top w:val="nil"/>
              <w:left w:val="single" w:sz="8" w:space="0" w:color="auto"/>
              <w:bottom w:val="single" w:sz="8" w:space="0" w:color="auto"/>
              <w:right w:val="single" w:sz="8" w:space="0" w:color="auto"/>
            </w:tcBorders>
            <w:shd w:val="clear" w:color="auto" w:fill="auto"/>
            <w:vAlign w:val="center"/>
            <w:hideMark/>
          </w:tcPr>
          <w:p w:rsidR="009F2694" w:rsidRPr="009F2694" w:rsidRDefault="009F2694" w:rsidP="006026FE">
            <w:pPr>
              <w:spacing w:line="276" w:lineRule="auto"/>
              <w:jc w:val="both"/>
              <w:rPr>
                <w:color w:val="000000"/>
              </w:rPr>
            </w:pPr>
            <w:r w:rsidRPr="009F2694">
              <w:rPr>
                <w:color w:val="000000"/>
                <w:sz w:val="22"/>
                <w:szCs w:val="22"/>
              </w:rPr>
              <w:t>DRH/Tillabéri</w:t>
            </w:r>
          </w:p>
        </w:tc>
        <w:tc>
          <w:tcPr>
            <w:tcW w:w="173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p>
        </w:tc>
        <w:tc>
          <w:tcPr>
            <w:tcW w:w="118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p>
        </w:tc>
        <w:tc>
          <w:tcPr>
            <w:tcW w:w="1220"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p>
        </w:tc>
        <w:tc>
          <w:tcPr>
            <w:tcW w:w="1173"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color w:val="000000"/>
              </w:rPr>
            </w:pPr>
            <w:r w:rsidRPr="009F2694">
              <w:rPr>
                <w:color w:val="000000"/>
              </w:rPr>
              <w:t>11</w:t>
            </w:r>
          </w:p>
        </w:tc>
        <w:tc>
          <w:tcPr>
            <w:tcW w:w="118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b/>
                <w:bCs/>
                <w:color w:val="000000"/>
              </w:rPr>
            </w:pPr>
            <w:r w:rsidRPr="009F2694">
              <w:rPr>
                <w:b/>
                <w:bCs/>
                <w:color w:val="000000"/>
              </w:rPr>
              <w:t>11</w:t>
            </w:r>
          </w:p>
        </w:tc>
      </w:tr>
      <w:tr w:rsidR="009F2694" w:rsidRPr="009F2694" w:rsidTr="007F3594">
        <w:trPr>
          <w:trHeight w:val="330"/>
        </w:trPr>
        <w:tc>
          <w:tcPr>
            <w:tcW w:w="1527" w:type="dxa"/>
            <w:tcBorders>
              <w:top w:val="nil"/>
              <w:left w:val="single" w:sz="8" w:space="0" w:color="auto"/>
              <w:bottom w:val="single" w:sz="8" w:space="0" w:color="auto"/>
              <w:right w:val="single" w:sz="8" w:space="0" w:color="auto"/>
            </w:tcBorders>
            <w:shd w:val="clear" w:color="auto" w:fill="auto"/>
            <w:vAlign w:val="center"/>
            <w:hideMark/>
          </w:tcPr>
          <w:p w:rsidR="009F2694" w:rsidRPr="009F2694" w:rsidRDefault="009F2694" w:rsidP="006026FE">
            <w:pPr>
              <w:spacing w:line="276" w:lineRule="auto"/>
              <w:jc w:val="both"/>
              <w:rPr>
                <w:b/>
                <w:bCs/>
                <w:color w:val="000000"/>
              </w:rPr>
            </w:pPr>
            <w:r w:rsidRPr="009F2694">
              <w:rPr>
                <w:b/>
                <w:bCs/>
                <w:color w:val="000000"/>
              </w:rPr>
              <w:t>TOTAL</w:t>
            </w:r>
          </w:p>
        </w:tc>
        <w:tc>
          <w:tcPr>
            <w:tcW w:w="173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b/>
                <w:bCs/>
                <w:color w:val="000000"/>
              </w:rPr>
            </w:pPr>
            <w:r w:rsidRPr="009F2694">
              <w:rPr>
                <w:b/>
                <w:bCs/>
                <w:color w:val="000000"/>
              </w:rPr>
              <w:t>33</w:t>
            </w:r>
          </w:p>
        </w:tc>
        <w:tc>
          <w:tcPr>
            <w:tcW w:w="118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b/>
                <w:bCs/>
                <w:color w:val="000000"/>
              </w:rPr>
            </w:pPr>
            <w:r w:rsidRPr="009F2694">
              <w:rPr>
                <w:b/>
                <w:bCs/>
                <w:color w:val="000000"/>
              </w:rPr>
              <w:t>13</w:t>
            </w:r>
          </w:p>
        </w:tc>
        <w:tc>
          <w:tcPr>
            <w:tcW w:w="1220"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b/>
                <w:bCs/>
                <w:color w:val="000000"/>
              </w:rPr>
            </w:pPr>
            <w:r w:rsidRPr="009F2694">
              <w:rPr>
                <w:b/>
                <w:bCs/>
                <w:color w:val="000000"/>
              </w:rPr>
              <w:t>10</w:t>
            </w:r>
          </w:p>
        </w:tc>
        <w:tc>
          <w:tcPr>
            <w:tcW w:w="1173"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b/>
                <w:bCs/>
                <w:color w:val="000000"/>
              </w:rPr>
            </w:pPr>
            <w:r w:rsidRPr="009F2694">
              <w:rPr>
                <w:b/>
                <w:bCs/>
                <w:color w:val="000000"/>
              </w:rPr>
              <w:t>120</w:t>
            </w:r>
          </w:p>
        </w:tc>
        <w:tc>
          <w:tcPr>
            <w:tcW w:w="1184" w:type="dxa"/>
            <w:tcBorders>
              <w:top w:val="nil"/>
              <w:left w:val="nil"/>
              <w:bottom w:val="single" w:sz="8" w:space="0" w:color="auto"/>
              <w:right w:val="single" w:sz="8" w:space="0" w:color="auto"/>
            </w:tcBorders>
            <w:shd w:val="clear" w:color="auto" w:fill="auto"/>
            <w:vAlign w:val="center"/>
            <w:hideMark/>
          </w:tcPr>
          <w:p w:rsidR="009F2694" w:rsidRPr="009F2694" w:rsidRDefault="009F2694" w:rsidP="007F3594">
            <w:pPr>
              <w:spacing w:line="276" w:lineRule="auto"/>
              <w:jc w:val="center"/>
              <w:rPr>
                <w:b/>
                <w:bCs/>
                <w:color w:val="000000"/>
              </w:rPr>
            </w:pPr>
            <w:r w:rsidRPr="009F2694">
              <w:rPr>
                <w:b/>
                <w:bCs/>
                <w:color w:val="000000"/>
              </w:rPr>
              <w:t>176</w:t>
            </w:r>
          </w:p>
        </w:tc>
      </w:tr>
    </w:tbl>
    <w:p w:rsidR="00F44DAC" w:rsidRDefault="00F44DAC" w:rsidP="006026FE">
      <w:pPr>
        <w:spacing w:line="276" w:lineRule="auto"/>
        <w:jc w:val="both"/>
      </w:pPr>
    </w:p>
    <w:p w:rsidR="00C25DAB" w:rsidRDefault="00C25DAB" w:rsidP="006026FE">
      <w:pPr>
        <w:spacing w:line="276" w:lineRule="auto"/>
        <w:jc w:val="both"/>
        <w:rPr>
          <w:i/>
        </w:rPr>
      </w:pPr>
    </w:p>
    <w:p w:rsidR="00C25DAB" w:rsidRDefault="00C25DAB" w:rsidP="006026FE">
      <w:pPr>
        <w:spacing w:line="276" w:lineRule="auto"/>
        <w:jc w:val="both"/>
        <w:rPr>
          <w:i/>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0B5368" w:rsidRDefault="000B5368" w:rsidP="006026FE">
      <w:pPr>
        <w:spacing w:line="276" w:lineRule="auto"/>
        <w:jc w:val="both"/>
        <w:rPr>
          <w:b/>
        </w:rPr>
      </w:pPr>
    </w:p>
    <w:p w:rsidR="000B5368" w:rsidRDefault="000B5368" w:rsidP="00225AC6">
      <w:pPr>
        <w:spacing w:line="276" w:lineRule="auto"/>
        <w:jc w:val="center"/>
        <w:rPr>
          <w:b/>
        </w:rPr>
      </w:pPr>
    </w:p>
    <w:p w:rsidR="00225AC6" w:rsidRDefault="00225AC6" w:rsidP="00225AC6">
      <w:pPr>
        <w:spacing w:line="276" w:lineRule="auto"/>
        <w:jc w:val="center"/>
        <w:rPr>
          <w:b/>
        </w:rPr>
      </w:pPr>
    </w:p>
    <w:p w:rsidR="00225AC6" w:rsidRDefault="00225AC6" w:rsidP="00225AC6">
      <w:pPr>
        <w:spacing w:line="276" w:lineRule="auto"/>
        <w:jc w:val="center"/>
        <w:rPr>
          <w:b/>
        </w:rPr>
      </w:pPr>
    </w:p>
    <w:p w:rsidR="00225AC6" w:rsidRDefault="00225AC6" w:rsidP="00225AC6">
      <w:pPr>
        <w:spacing w:line="276" w:lineRule="auto"/>
        <w:jc w:val="center"/>
        <w:rPr>
          <w:b/>
        </w:rPr>
      </w:pPr>
    </w:p>
    <w:p w:rsidR="000B5368" w:rsidRDefault="000B5368" w:rsidP="006026FE">
      <w:pPr>
        <w:spacing w:line="276" w:lineRule="auto"/>
        <w:jc w:val="both"/>
        <w:rPr>
          <w:b/>
        </w:rPr>
      </w:pPr>
    </w:p>
    <w:p w:rsidR="000B5368" w:rsidRDefault="000B5368" w:rsidP="006026FE">
      <w:pPr>
        <w:spacing w:line="276" w:lineRule="auto"/>
        <w:jc w:val="both"/>
        <w:rPr>
          <w:b/>
        </w:rPr>
      </w:pPr>
    </w:p>
    <w:p w:rsidR="000B5368" w:rsidRDefault="000B5368" w:rsidP="006026FE">
      <w:pPr>
        <w:spacing w:line="276" w:lineRule="auto"/>
        <w:jc w:val="both"/>
        <w:rPr>
          <w:b/>
        </w:rPr>
      </w:pPr>
    </w:p>
    <w:p w:rsidR="000B5368" w:rsidRDefault="000B5368" w:rsidP="006026FE">
      <w:pPr>
        <w:spacing w:line="276" w:lineRule="auto"/>
        <w:jc w:val="both"/>
        <w:rPr>
          <w:b/>
        </w:rPr>
      </w:pPr>
    </w:p>
    <w:p w:rsidR="000B5368" w:rsidRDefault="000B5368" w:rsidP="006026FE">
      <w:pPr>
        <w:spacing w:line="276" w:lineRule="auto"/>
        <w:jc w:val="both"/>
        <w:rPr>
          <w:b/>
        </w:rPr>
      </w:pPr>
    </w:p>
    <w:p w:rsidR="00B56491" w:rsidRDefault="00B56491" w:rsidP="006026FE">
      <w:pPr>
        <w:spacing w:line="276" w:lineRule="auto"/>
        <w:jc w:val="both"/>
        <w:rPr>
          <w:b/>
        </w:rPr>
      </w:pPr>
    </w:p>
    <w:p w:rsidR="00B56491" w:rsidRDefault="00A93D2F" w:rsidP="006026FE">
      <w:pPr>
        <w:spacing w:line="276" w:lineRule="auto"/>
        <w:jc w:val="both"/>
        <w:rPr>
          <w:b/>
        </w:rPr>
      </w:pPr>
      <w:r>
        <w:rPr>
          <w:b/>
          <w:bCs/>
          <w:noProof/>
        </w:rPr>
        <w:pict>
          <v:roundrect id="_x0000_s1031" style="position:absolute;left:0;text-align:left;margin-left:52.15pt;margin-top:.25pt;width:327pt;height:39.75pt;z-index:25167052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" strokecolor="#9cc2e5" strokeweight="1pt">
            <v:fill color2="#bdd6ee" focus="100%" type="gradient"/>
            <v:shadow on="t" color="#1f4d78" opacity=".5" offset="1pt"/>
            <v:textbox>
              <w:txbxContent>
                <w:p w:rsidR="00E9635E" w:rsidRPr="00C25DAB" w:rsidRDefault="00E9635E" w:rsidP="00B56491">
                  <w:pPr>
                    <w:jc w:val="center"/>
                    <w:rPr>
                      <w:b/>
                    </w:rPr>
                  </w:pPr>
                  <w:r w:rsidRPr="00C25DAB">
                    <w:rPr>
                      <w:b/>
                    </w:rPr>
                    <w:t>V</w:t>
                  </w:r>
                  <w:r>
                    <w:rPr>
                      <w:b/>
                    </w:rPr>
                    <w:t>-</w:t>
                  </w:r>
                  <w:r w:rsidRPr="00C25DAB">
                    <w:rPr>
                      <w:b/>
                    </w:rPr>
                    <w:t xml:space="preserve"> PRICIPAUX CONSTATS ET RECOMMANDATIONS</w:t>
                  </w:r>
                </w:p>
                <w:p w:rsidR="00E9635E" w:rsidRDefault="00E9635E" w:rsidP="00B56491"/>
              </w:txbxContent>
            </v:textbox>
            <w10:wrap anchorx="margin"/>
          </v:roundrect>
        </w:pict>
      </w: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225AC6" w:rsidRDefault="00225AC6" w:rsidP="006026FE">
      <w:pPr>
        <w:spacing w:line="276" w:lineRule="auto"/>
        <w:jc w:val="both"/>
        <w:rPr>
          <w:b/>
        </w:rPr>
      </w:pPr>
    </w:p>
    <w:p w:rsidR="00B56491" w:rsidRDefault="00B56491" w:rsidP="006026FE">
      <w:pPr>
        <w:spacing w:line="276" w:lineRule="auto"/>
        <w:jc w:val="both"/>
        <w:rPr>
          <w:b/>
        </w:rPr>
      </w:pPr>
    </w:p>
    <w:p w:rsidR="00B56491" w:rsidRDefault="00B56491" w:rsidP="006026FE">
      <w:pPr>
        <w:spacing w:line="276" w:lineRule="auto"/>
        <w:jc w:val="both"/>
        <w:rPr>
          <w:b/>
        </w:rPr>
      </w:pPr>
    </w:p>
    <w:p w:rsidR="009E737A" w:rsidRDefault="009E737A" w:rsidP="006026FE">
      <w:pPr>
        <w:spacing w:line="276" w:lineRule="auto"/>
        <w:jc w:val="both"/>
        <w:rPr>
          <w:b/>
        </w:rPr>
      </w:pPr>
    </w:p>
    <w:p w:rsidR="009E737A" w:rsidRDefault="009E737A" w:rsidP="006026FE">
      <w:pPr>
        <w:spacing w:line="276" w:lineRule="auto"/>
        <w:jc w:val="both"/>
        <w:rPr>
          <w:b/>
        </w:rPr>
      </w:pPr>
    </w:p>
    <w:p w:rsidR="00B56491" w:rsidRDefault="00B56491" w:rsidP="006026FE">
      <w:pPr>
        <w:spacing w:line="276" w:lineRule="auto"/>
        <w:jc w:val="both"/>
        <w:rPr>
          <w:b/>
        </w:rPr>
      </w:pPr>
    </w:p>
    <w:p w:rsidR="00156E32" w:rsidRDefault="00156E32" w:rsidP="006026FE">
      <w:pPr>
        <w:spacing w:line="276" w:lineRule="auto"/>
        <w:jc w:val="both"/>
        <w:rPr>
          <w:b/>
        </w:rPr>
      </w:pPr>
    </w:p>
    <w:p w:rsidR="000B0363" w:rsidRDefault="00B56491" w:rsidP="006026FE">
      <w:pPr>
        <w:spacing w:line="276" w:lineRule="auto"/>
        <w:jc w:val="both"/>
        <w:rPr>
          <w:b/>
        </w:rPr>
      </w:pPr>
      <w:r w:rsidRPr="00C25DAB">
        <w:rPr>
          <w:b/>
        </w:rPr>
        <w:t>V PRICIPAUX CONSTATS ET RECOMMANDATIONS</w:t>
      </w:r>
    </w:p>
    <w:p w:rsidR="000B5368" w:rsidRDefault="000B5368" w:rsidP="006026FE">
      <w:pPr>
        <w:spacing w:line="276" w:lineRule="auto"/>
        <w:jc w:val="both"/>
        <w:rPr>
          <w:b/>
        </w:rPr>
      </w:pPr>
      <w:r>
        <w:rPr>
          <w:b/>
        </w:rPr>
        <w:t xml:space="preserve">5.1 </w:t>
      </w:r>
      <w:r w:rsidR="007F3594">
        <w:rPr>
          <w:b/>
        </w:rPr>
        <w:t>POINTS FORTS CONSTATES</w:t>
      </w:r>
    </w:p>
    <w:p w:rsidR="000B5368" w:rsidRPr="000B5368" w:rsidRDefault="000B5368" w:rsidP="00D10A01">
      <w:pPr>
        <w:pStyle w:val="Paragraphedeliste"/>
        <w:numPr>
          <w:ilvl w:val="2"/>
          <w:numId w:val="25"/>
        </w:numPr>
        <w:spacing w:line="276" w:lineRule="auto"/>
        <w:jc w:val="both"/>
        <w:rPr>
          <w:b/>
        </w:rPr>
      </w:pPr>
      <w:r w:rsidRPr="000B5368">
        <w:rPr>
          <w:b/>
        </w:rPr>
        <w:t>Contrôle Interne</w:t>
      </w:r>
    </w:p>
    <w:p w:rsidR="000B5368" w:rsidRPr="000B5368" w:rsidRDefault="000B5368" w:rsidP="006026FE">
      <w:pPr>
        <w:spacing w:after="160" w:line="276" w:lineRule="auto"/>
        <w:jc w:val="both"/>
        <w:rPr>
          <w:b/>
          <w:bCs/>
        </w:rPr>
      </w:pPr>
      <w:r>
        <w:rPr>
          <w:b/>
          <w:bCs/>
        </w:rPr>
        <w:t xml:space="preserve">5.1.1.1 </w:t>
      </w:r>
      <w:r w:rsidRPr="000B5368">
        <w:rPr>
          <w:b/>
          <w:bCs/>
        </w:rPr>
        <w:t>Existence d’une Direction des Marchés Publics (8/</w:t>
      </w:r>
      <w:r w:rsidR="00523945">
        <w:rPr>
          <w:b/>
          <w:bCs/>
        </w:rPr>
        <w:t>8</w:t>
      </w:r>
      <w:r w:rsidRPr="000B5368">
        <w:rPr>
          <w:b/>
          <w:bCs/>
        </w:rPr>
        <w:t>)</w:t>
      </w:r>
    </w:p>
    <w:p w:rsidR="00165CDE" w:rsidRDefault="000B5368" w:rsidP="006026FE">
      <w:pPr>
        <w:spacing w:line="276" w:lineRule="auto"/>
        <w:jc w:val="both"/>
        <w:rPr>
          <w:bCs/>
        </w:rPr>
      </w:pPr>
      <w:r w:rsidRPr="006026FE">
        <w:t xml:space="preserve"> Huit  autorités contractantes sur neuf de notre échantillon disposent d’une direction ou d’un service des marchés publics conformément aux dispositions du</w:t>
      </w:r>
      <w:r w:rsidRPr="006026FE">
        <w:rPr>
          <w:bCs/>
        </w:rPr>
        <w:t xml:space="preserve"> décret n°2013-002/PRN/PM du 04 janvier 2013. Les Autorités Contractantes disposant </w:t>
      </w:r>
      <w:r w:rsidR="007F3594">
        <w:rPr>
          <w:bCs/>
        </w:rPr>
        <w:t>d’</w:t>
      </w:r>
      <w:r w:rsidRPr="006026FE">
        <w:rPr>
          <w:bCs/>
        </w:rPr>
        <w:t>une Direction ou</w:t>
      </w:r>
      <w:r w:rsidR="007F3594">
        <w:rPr>
          <w:bCs/>
        </w:rPr>
        <w:t xml:space="preserve"> un </w:t>
      </w:r>
      <w:r w:rsidRPr="006026FE">
        <w:rPr>
          <w:bCs/>
        </w:rPr>
        <w:t xml:space="preserve"> Service des Marchés Publics et des Délégations de Service Public sont :</w:t>
      </w:r>
    </w:p>
    <w:p w:rsidR="00165CDE" w:rsidRPr="00165CDE" w:rsidRDefault="000B5368" w:rsidP="00D10A01">
      <w:pPr>
        <w:pStyle w:val="Paragraphedeliste"/>
        <w:numPr>
          <w:ilvl w:val="0"/>
          <w:numId w:val="29"/>
        </w:numPr>
        <w:spacing w:line="276" w:lineRule="auto"/>
        <w:jc w:val="both"/>
      </w:pPr>
      <w:r w:rsidRPr="00165CDE">
        <w:rPr>
          <w:bCs/>
        </w:rPr>
        <w:t xml:space="preserve">Société Nigérienne Des Produits Pétroliers (SONIDEP), </w:t>
      </w:r>
    </w:p>
    <w:p w:rsidR="00165CDE" w:rsidRPr="00165CDE" w:rsidRDefault="000B5368" w:rsidP="00D10A01">
      <w:pPr>
        <w:pStyle w:val="Paragraphedeliste"/>
        <w:numPr>
          <w:ilvl w:val="0"/>
          <w:numId w:val="29"/>
        </w:numPr>
        <w:spacing w:line="276" w:lineRule="auto"/>
        <w:jc w:val="both"/>
      </w:pPr>
      <w:r w:rsidRPr="00165CDE">
        <w:rPr>
          <w:bCs/>
        </w:rPr>
        <w:t xml:space="preserve">Office National d'Edition et de Presse (ONEP), </w:t>
      </w:r>
    </w:p>
    <w:p w:rsidR="00165CDE" w:rsidRPr="00165CDE" w:rsidRDefault="000B5368" w:rsidP="00D10A01">
      <w:pPr>
        <w:pStyle w:val="Paragraphedeliste"/>
        <w:numPr>
          <w:ilvl w:val="0"/>
          <w:numId w:val="29"/>
        </w:numPr>
        <w:spacing w:line="276" w:lineRule="auto"/>
        <w:jc w:val="both"/>
      </w:pPr>
      <w:r w:rsidRPr="00165CDE">
        <w:rPr>
          <w:bCs/>
        </w:rPr>
        <w:t>Centrale d'Approvisionnement en Intrants et Matériels Agricoles (CAIMA),</w:t>
      </w:r>
    </w:p>
    <w:p w:rsidR="00165CDE" w:rsidRPr="00165CDE" w:rsidRDefault="000B5368" w:rsidP="00D10A01">
      <w:pPr>
        <w:pStyle w:val="Paragraphedeliste"/>
        <w:numPr>
          <w:ilvl w:val="0"/>
          <w:numId w:val="29"/>
        </w:numPr>
        <w:spacing w:line="276" w:lineRule="auto"/>
        <w:jc w:val="both"/>
      </w:pPr>
      <w:r w:rsidRPr="00165CDE">
        <w:rPr>
          <w:bCs/>
        </w:rPr>
        <w:t xml:space="preserve"> Ministère de l'Equipement/CAFER (CAFER), </w:t>
      </w:r>
    </w:p>
    <w:p w:rsidR="00165CDE" w:rsidRPr="00165CDE" w:rsidRDefault="000B5368" w:rsidP="00D10A01">
      <w:pPr>
        <w:pStyle w:val="Paragraphedeliste"/>
        <w:numPr>
          <w:ilvl w:val="0"/>
          <w:numId w:val="29"/>
        </w:numPr>
        <w:spacing w:line="276" w:lineRule="auto"/>
        <w:jc w:val="both"/>
      </w:pPr>
      <w:r w:rsidRPr="00165CDE">
        <w:rPr>
          <w:bCs/>
        </w:rPr>
        <w:t xml:space="preserve">Cellule de Crises Alimentaire (CCA), </w:t>
      </w:r>
    </w:p>
    <w:p w:rsidR="00165CDE" w:rsidRPr="00165CDE" w:rsidRDefault="000B5368" w:rsidP="00D10A01">
      <w:pPr>
        <w:pStyle w:val="Paragraphedeliste"/>
        <w:numPr>
          <w:ilvl w:val="0"/>
          <w:numId w:val="29"/>
        </w:numPr>
        <w:spacing w:line="276" w:lineRule="auto"/>
        <w:jc w:val="both"/>
      </w:pPr>
      <w:r w:rsidRPr="00165CDE">
        <w:rPr>
          <w:bCs/>
        </w:rPr>
        <w:t xml:space="preserve">Haut-Commissariat à l'Aménagement de la Vallée du Niger (HCAVN), </w:t>
      </w:r>
    </w:p>
    <w:p w:rsidR="006470E9" w:rsidRPr="006470E9" w:rsidRDefault="000B5368" w:rsidP="00D10A01">
      <w:pPr>
        <w:pStyle w:val="Paragraphedeliste"/>
        <w:numPr>
          <w:ilvl w:val="0"/>
          <w:numId w:val="29"/>
        </w:numPr>
        <w:spacing w:line="276" w:lineRule="auto"/>
        <w:jc w:val="both"/>
      </w:pPr>
      <w:r w:rsidRPr="00165CDE">
        <w:rPr>
          <w:bCs/>
        </w:rPr>
        <w:t xml:space="preserve">Cellule de Coordination Humanitaire (CCH), </w:t>
      </w:r>
    </w:p>
    <w:p w:rsidR="000B5368" w:rsidRPr="006026FE" w:rsidRDefault="000B5368" w:rsidP="00D10A01">
      <w:pPr>
        <w:pStyle w:val="Paragraphedeliste"/>
        <w:numPr>
          <w:ilvl w:val="0"/>
          <w:numId w:val="29"/>
        </w:numPr>
        <w:spacing w:line="276" w:lineRule="auto"/>
        <w:jc w:val="both"/>
      </w:pPr>
      <w:r w:rsidRPr="00165CDE">
        <w:rPr>
          <w:bCs/>
        </w:rPr>
        <w:t>Ville de Niamey</w:t>
      </w:r>
      <w:r w:rsidR="007F3594" w:rsidRPr="00165CDE">
        <w:rPr>
          <w:bCs/>
        </w:rPr>
        <w:t xml:space="preserve">. </w:t>
      </w:r>
    </w:p>
    <w:p w:rsidR="000B5368" w:rsidRDefault="000B5368" w:rsidP="006026FE">
      <w:pPr>
        <w:spacing w:after="160" w:line="276" w:lineRule="auto"/>
        <w:jc w:val="both"/>
        <w:rPr>
          <w:b/>
        </w:rPr>
      </w:pPr>
    </w:p>
    <w:p w:rsidR="000B5368" w:rsidRPr="000B5368" w:rsidRDefault="000B5368" w:rsidP="00D10A01">
      <w:pPr>
        <w:pStyle w:val="Paragraphedeliste"/>
        <w:numPr>
          <w:ilvl w:val="3"/>
          <w:numId w:val="26"/>
        </w:numPr>
        <w:spacing w:after="160" w:line="276" w:lineRule="auto"/>
        <w:jc w:val="both"/>
        <w:rPr>
          <w:b/>
          <w:bCs/>
        </w:rPr>
      </w:pPr>
      <w:r w:rsidRPr="000B5368">
        <w:rPr>
          <w:b/>
        </w:rPr>
        <w:t>Mise en place d’une base de données</w:t>
      </w:r>
      <w:r w:rsidR="00AD7858">
        <w:rPr>
          <w:b/>
        </w:rPr>
        <w:t xml:space="preserve">                      (</w:t>
      </w:r>
      <w:r w:rsidR="00BD478F">
        <w:rPr>
          <w:b/>
        </w:rPr>
        <w:t>8</w:t>
      </w:r>
      <w:r w:rsidRPr="000B5368">
        <w:rPr>
          <w:b/>
        </w:rPr>
        <w:t>/9)</w:t>
      </w:r>
    </w:p>
    <w:p w:rsidR="006470E9" w:rsidRDefault="000B5368" w:rsidP="006026FE">
      <w:pPr>
        <w:spacing w:line="276" w:lineRule="auto"/>
        <w:jc w:val="both"/>
        <w:rPr>
          <w:bCs/>
        </w:rPr>
      </w:pPr>
      <w:r>
        <w:rPr>
          <w:bCs/>
        </w:rPr>
        <w:t>La d</w:t>
      </w:r>
      <w:r w:rsidRPr="00B63EC7">
        <w:rPr>
          <w:bCs/>
        </w:rPr>
        <w:t xml:space="preserve">irection et ou service des marchés publics et des délégations de service public de sept des neuf </w:t>
      </w:r>
      <w:r>
        <w:rPr>
          <w:bCs/>
        </w:rPr>
        <w:t>Autorités C</w:t>
      </w:r>
      <w:r w:rsidRPr="00B63EC7">
        <w:rPr>
          <w:bCs/>
        </w:rPr>
        <w:t>ontractante</w:t>
      </w:r>
      <w:r w:rsidR="00CB3AA6">
        <w:rPr>
          <w:bCs/>
        </w:rPr>
        <w:t>s du lot 2</w:t>
      </w:r>
      <w:r w:rsidRPr="00B63EC7">
        <w:rPr>
          <w:bCs/>
        </w:rPr>
        <w:t xml:space="preserve"> ont mis en place une base des données sur les marchés publics. Le tableau ci-dessous indique les autorités</w:t>
      </w:r>
      <w:r w:rsidR="00D34C66">
        <w:rPr>
          <w:bCs/>
        </w:rPr>
        <w:t xml:space="preserve"> contractantes qui disposent de base</w:t>
      </w:r>
      <w:r w:rsidRPr="00B63EC7">
        <w:rPr>
          <w:bCs/>
        </w:rPr>
        <w:t xml:space="preserve"> de données sur les marchés publics :</w:t>
      </w:r>
    </w:p>
    <w:p w:rsidR="006470E9" w:rsidRDefault="000B5368" w:rsidP="00D10A01">
      <w:pPr>
        <w:pStyle w:val="Paragraphedeliste"/>
        <w:numPr>
          <w:ilvl w:val="0"/>
          <w:numId w:val="30"/>
        </w:numPr>
        <w:spacing w:line="276" w:lineRule="auto"/>
        <w:jc w:val="both"/>
        <w:rPr>
          <w:bCs/>
        </w:rPr>
      </w:pPr>
      <w:r w:rsidRPr="006470E9">
        <w:rPr>
          <w:bCs/>
        </w:rPr>
        <w:t>Société Nigérienne Des Produits Pétroliers</w:t>
      </w:r>
      <w:r w:rsidR="006470E9">
        <w:rPr>
          <w:bCs/>
        </w:rPr>
        <w:t xml:space="preserve"> (SONIDEP) ;</w:t>
      </w:r>
    </w:p>
    <w:p w:rsidR="006470E9" w:rsidRDefault="000B5368" w:rsidP="00D10A01">
      <w:pPr>
        <w:pStyle w:val="Paragraphedeliste"/>
        <w:numPr>
          <w:ilvl w:val="0"/>
          <w:numId w:val="30"/>
        </w:numPr>
        <w:spacing w:line="276" w:lineRule="auto"/>
        <w:jc w:val="both"/>
        <w:rPr>
          <w:bCs/>
        </w:rPr>
      </w:pPr>
      <w:r w:rsidRPr="006470E9">
        <w:rPr>
          <w:bCs/>
        </w:rPr>
        <w:t xml:space="preserve">Centrale d’Approvisionnement en </w:t>
      </w:r>
      <w:r w:rsidR="006470E9">
        <w:rPr>
          <w:bCs/>
        </w:rPr>
        <w:t>Intrants et Matériels Agricoles(</w:t>
      </w:r>
      <w:r w:rsidR="006470E9" w:rsidRPr="006470E9">
        <w:rPr>
          <w:bCs/>
        </w:rPr>
        <w:t>CAIMA</w:t>
      </w:r>
      <w:r w:rsidR="006470E9">
        <w:rPr>
          <w:bCs/>
        </w:rPr>
        <w:t>)</w:t>
      </w:r>
      <w:r w:rsidRPr="006470E9">
        <w:rPr>
          <w:bCs/>
        </w:rPr>
        <w:t xml:space="preserve">, </w:t>
      </w:r>
    </w:p>
    <w:p w:rsidR="00AD7858" w:rsidRPr="00BD478F" w:rsidRDefault="00AD7858" w:rsidP="00AD7858">
      <w:pPr>
        <w:pStyle w:val="Paragraphedeliste"/>
        <w:numPr>
          <w:ilvl w:val="0"/>
          <w:numId w:val="30"/>
        </w:numPr>
        <w:spacing w:line="276" w:lineRule="auto"/>
        <w:jc w:val="both"/>
      </w:pPr>
      <w:r w:rsidRPr="00165CDE">
        <w:rPr>
          <w:bCs/>
        </w:rPr>
        <w:t xml:space="preserve">Haut-Commissariat à l'Aménagement de la Vallée du Niger (HCAVN), </w:t>
      </w:r>
    </w:p>
    <w:p w:rsidR="00BD478F" w:rsidRPr="00AD7858" w:rsidRDefault="00BD478F" w:rsidP="00BD478F">
      <w:pPr>
        <w:pStyle w:val="Paragraphedeliste"/>
        <w:numPr>
          <w:ilvl w:val="0"/>
          <w:numId w:val="30"/>
        </w:numPr>
        <w:spacing w:line="276" w:lineRule="auto"/>
        <w:jc w:val="both"/>
      </w:pPr>
      <w:r w:rsidRPr="00165CDE">
        <w:rPr>
          <w:bCs/>
        </w:rPr>
        <w:t xml:space="preserve">Office National d'Edition et de Presse (ONEP), </w:t>
      </w:r>
    </w:p>
    <w:p w:rsidR="006470E9" w:rsidRDefault="000B5368" w:rsidP="00D10A01">
      <w:pPr>
        <w:pStyle w:val="Paragraphedeliste"/>
        <w:numPr>
          <w:ilvl w:val="0"/>
          <w:numId w:val="30"/>
        </w:numPr>
        <w:spacing w:line="276" w:lineRule="auto"/>
        <w:jc w:val="both"/>
        <w:rPr>
          <w:bCs/>
        </w:rPr>
      </w:pPr>
      <w:r w:rsidRPr="006470E9">
        <w:rPr>
          <w:bCs/>
        </w:rPr>
        <w:t>Cell</w:t>
      </w:r>
      <w:r w:rsidR="006470E9">
        <w:rPr>
          <w:bCs/>
        </w:rPr>
        <w:t>ule de Coordination Humanitaire(</w:t>
      </w:r>
      <w:r w:rsidR="006470E9" w:rsidRPr="006470E9">
        <w:rPr>
          <w:bCs/>
        </w:rPr>
        <w:t>CCH</w:t>
      </w:r>
      <w:r w:rsidR="006470E9">
        <w:rPr>
          <w:bCs/>
        </w:rPr>
        <w:t>)</w:t>
      </w:r>
      <w:r w:rsidRPr="006470E9">
        <w:rPr>
          <w:bCs/>
        </w:rPr>
        <w:t xml:space="preserve">, </w:t>
      </w:r>
    </w:p>
    <w:p w:rsidR="006470E9" w:rsidRDefault="000B5368" w:rsidP="00D10A01">
      <w:pPr>
        <w:pStyle w:val="Paragraphedeliste"/>
        <w:numPr>
          <w:ilvl w:val="0"/>
          <w:numId w:val="30"/>
        </w:numPr>
        <w:spacing w:line="276" w:lineRule="auto"/>
        <w:jc w:val="both"/>
        <w:rPr>
          <w:bCs/>
        </w:rPr>
      </w:pPr>
      <w:r w:rsidRPr="006470E9">
        <w:rPr>
          <w:bCs/>
        </w:rPr>
        <w:t>Cellule de Crises Alimentaires</w:t>
      </w:r>
      <w:r w:rsidR="006470E9">
        <w:rPr>
          <w:bCs/>
        </w:rPr>
        <w:t>(</w:t>
      </w:r>
      <w:r w:rsidR="006470E9" w:rsidRPr="006470E9">
        <w:rPr>
          <w:bCs/>
        </w:rPr>
        <w:t>CCA</w:t>
      </w:r>
      <w:r w:rsidR="006470E9">
        <w:rPr>
          <w:bCs/>
        </w:rPr>
        <w:t>)</w:t>
      </w:r>
      <w:r w:rsidRPr="006470E9">
        <w:rPr>
          <w:bCs/>
        </w:rPr>
        <w:t xml:space="preserve">, </w:t>
      </w:r>
    </w:p>
    <w:p w:rsidR="006470E9" w:rsidRPr="00C6366B" w:rsidRDefault="000B5368" w:rsidP="00D10A01">
      <w:pPr>
        <w:pStyle w:val="Paragraphedeliste"/>
        <w:numPr>
          <w:ilvl w:val="0"/>
          <w:numId w:val="30"/>
        </w:numPr>
        <w:spacing w:line="276" w:lineRule="auto"/>
        <w:jc w:val="both"/>
        <w:rPr>
          <w:bCs/>
        </w:rPr>
      </w:pPr>
      <w:r w:rsidRPr="00C6366B">
        <w:rPr>
          <w:bCs/>
        </w:rPr>
        <w:t xml:space="preserve">Ministère de l’Equipement/CAFER, </w:t>
      </w:r>
    </w:p>
    <w:p w:rsidR="000B5368" w:rsidRPr="006470E9" w:rsidRDefault="000B5368" w:rsidP="00D10A01">
      <w:pPr>
        <w:pStyle w:val="Paragraphedeliste"/>
        <w:numPr>
          <w:ilvl w:val="0"/>
          <w:numId w:val="30"/>
        </w:numPr>
        <w:spacing w:line="276" w:lineRule="auto"/>
        <w:jc w:val="both"/>
        <w:rPr>
          <w:bCs/>
        </w:rPr>
      </w:pPr>
      <w:r w:rsidRPr="006470E9">
        <w:rPr>
          <w:bCs/>
        </w:rPr>
        <w:t>Ville de Niamey</w:t>
      </w:r>
      <w:r w:rsidR="00D34C66" w:rsidRPr="006470E9">
        <w:rPr>
          <w:bCs/>
        </w:rPr>
        <w:t>.</w:t>
      </w:r>
    </w:p>
    <w:p w:rsidR="000B5368" w:rsidRDefault="000B5368" w:rsidP="006026FE">
      <w:pPr>
        <w:spacing w:after="160" w:line="276" w:lineRule="auto"/>
        <w:jc w:val="both"/>
        <w:rPr>
          <w:b/>
        </w:rPr>
      </w:pPr>
    </w:p>
    <w:p w:rsidR="000B5368" w:rsidRPr="000B5368" w:rsidRDefault="000B5368" w:rsidP="00D10A01">
      <w:pPr>
        <w:pStyle w:val="Paragraphedeliste"/>
        <w:numPr>
          <w:ilvl w:val="3"/>
          <w:numId w:val="26"/>
        </w:numPr>
        <w:spacing w:after="160" w:line="276" w:lineRule="auto"/>
        <w:jc w:val="both"/>
        <w:rPr>
          <w:bCs/>
        </w:rPr>
      </w:pPr>
      <w:r w:rsidRPr="000B5368">
        <w:rPr>
          <w:b/>
        </w:rPr>
        <w:t>Respect des délais de publicité des plans prévisionnels annuels de passation des marchés</w:t>
      </w:r>
      <w:r w:rsidR="00D34C66">
        <w:rPr>
          <w:b/>
        </w:rPr>
        <w:tab/>
      </w:r>
      <w:r w:rsidR="00D34C66">
        <w:rPr>
          <w:b/>
        </w:rPr>
        <w:tab/>
      </w:r>
      <w:r w:rsidR="00D34C66">
        <w:rPr>
          <w:b/>
        </w:rPr>
        <w:tab/>
      </w:r>
      <w:r w:rsidR="00D34C66">
        <w:rPr>
          <w:b/>
        </w:rPr>
        <w:tab/>
      </w:r>
      <w:r w:rsidR="00D34C66">
        <w:rPr>
          <w:b/>
        </w:rPr>
        <w:tab/>
      </w:r>
      <w:r w:rsidR="00D34C66">
        <w:rPr>
          <w:b/>
        </w:rPr>
        <w:tab/>
      </w:r>
      <w:r w:rsidR="00D34C66">
        <w:rPr>
          <w:b/>
        </w:rPr>
        <w:tab/>
      </w:r>
      <w:r w:rsidR="00D34C66">
        <w:rPr>
          <w:b/>
        </w:rPr>
        <w:tab/>
      </w:r>
      <w:r w:rsidR="00D34C66">
        <w:rPr>
          <w:b/>
        </w:rPr>
        <w:tab/>
      </w:r>
      <w:r w:rsidR="00D34C66">
        <w:rPr>
          <w:b/>
        </w:rPr>
        <w:tab/>
        <w:t xml:space="preserve"> (1/9)</w:t>
      </w:r>
    </w:p>
    <w:p w:rsidR="00CB3AA6" w:rsidRPr="00CB3AA6" w:rsidRDefault="00CB3AA6" w:rsidP="00CB3AA6">
      <w:pPr>
        <w:spacing w:line="276" w:lineRule="auto"/>
        <w:jc w:val="both"/>
        <w:rPr>
          <w:i/>
          <w:color w:val="000000" w:themeColor="text1"/>
        </w:rPr>
      </w:pPr>
      <w:r w:rsidRPr="00CB3AA6">
        <w:rPr>
          <w:color w:val="000000" w:themeColor="text1"/>
        </w:rPr>
        <w:lastRenderedPageBreak/>
        <w:t>Selon l’article 2 de l’arrêté 34/CAB/PM/ARMP du 21 janvier 2014 fixant les délais dans le cadre de la passation des marchés publics et des délégations de service public « …</w:t>
      </w:r>
      <w:r w:rsidRPr="00CB3AA6">
        <w:rPr>
          <w:i/>
          <w:color w:val="000000" w:themeColor="text1"/>
        </w:rPr>
        <w:t>le plan prévisionnel de passation des marchés publics élaboré par l’autorité contractante au plus tard le 15 janvier de l’année budgétaire en cours.La publication du plan prévisionnel est faite au journal des marchés publics au plus tard le 31 janvier de la même année.»</w:t>
      </w:r>
    </w:p>
    <w:p w:rsidR="006470E9" w:rsidRDefault="00CB3AA6" w:rsidP="006026FE">
      <w:pPr>
        <w:spacing w:line="276" w:lineRule="auto"/>
        <w:jc w:val="both"/>
        <w:rPr>
          <w:color w:val="000000" w:themeColor="text1"/>
        </w:rPr>
      </w:pPr>
      <w:r w:rsidRPr="00212614">
        <w:rPr>
          <w:color w:val="000000" w:themeColor="text1"/>
        </w:rPr>
        <w:t>Le délai de publicité du plan prévisionnel de passation des marchés a été respecté au nive</w:t>
      </w:r>
      <w:r>
        <w:rPr>
          <w:color w:val="000000" w:themeColor="text1"/>
        </w:rPr>
        <w:t>au du Ministère de l’Equipement/CAFER</w:t>
      </w:r>
    </w:p>
    <w:p w:rsidR="00AD7858" w:rsidRPr="00CB3AA6" w:rsidRDefault="00AD7858" w:rsidP="006026FE">
      <w:pPr>
        <w:spacing w:line="276" w:lineRule="auto"/>
        <w:jc w:val="both"/>
      </w:pPr>
    </w:p>
    <w:p w:rsidR="000B5368" w:rsidRPr="000B5368" w:rsidRDefault="000B5368" w:rsidP="00D10A01">
      <w:pPr>
        <w:pStyle w:val="Paragraphedeliste"/>
        <w:numPr>
          <w:ilvl w:val="3"/>
          <w:numId w:val="26"/>
        </w:numPr>
        <w:spacing w:after="160" w:line="276" w:lineRule="auto"/>
        <w:jc w:val="both"/>
        <w:rPr>
          <w:bCs/>
        </w:rPr>
      </w:pPr>
      <w:r w:rsidRPr="000B5368">
        <w:rPr>
          <w:b/>
        </w:rPr>
        <w:t xml:space="preserve">Respect des délais d’analyse et évaluation des offres </w:t>
      </w:r>
      <w:r w:rsidR="00D34C66">
        <w:rPr>
          <w:b/>
        </w:rPr>
        <w:tab/>
      </w:r>
      <w:r w:rsidR="00D34C66">
        <w:rPr>
          <w:b/>
        </w:rPr>
        <w:tab/>
      </w:r>
      <w:r w:rsidR="00D34C66">
        <w:rPr>
          <w:b/>
        </w:rPr>
        <w:tab/>
      </w:r>
      <w:r w:rsidR="00D34C66">
        <w:rPr>
          <w:b/>
        </w:rPr>
        <w:tab/>
        <w:t>(7/9)</w:t>
      </w:r>
    </w:p>
    <w:p w:rsidR="000B5368" w:rsidRPr="00B63EC7" w:rsidRDefault="000B5368" w:rsidP="006026FE">
      <w:pPr>
        <w:spacing w:line="276" w:lineRule="auto"/>
        <w:jc w:val="both"/>
        <w:rPr>
          <w:i/>
        </w:rPr>
      </w:pPr>
      <w:r w:rsidRPr="00B63EC7">
        <w:t>L’article 11 de l’arrêté n°34/CAB/PM/ARMP du 21 janvier 2014 fixant les délais dans le cadre de passation des marchés publics et des délégations de service public stipule  que : </w:t>
      </w:r>
      <w:r w:rsidRPr="00B63EC7">
        <w:rPr>
          <w:i/>
        </w:rPr>
        <w:t>les commissions d’analyse et d’évaluation des offres sont tenues de rendre leurs rapports au plus tard soixante-douze (72) heures à compter de la réception des dossiers et du procès-verbal d’ouverture des plis.</w:t>
      </w:r>
    </w:p>
    <w:p w:rsidR="000B5368" w:rsidRDefault="000B5368" w:rsidP="006026FE">
      <w:pPr>
        <w:spacing w:line="276" w:lineRule="auto"/>
        <w:jc w:val="both"/>
        <w:rPr>
          <w:i/>
        </w:rPr>
      </w:pPr>
      <w:r w:rsidRPr="00B63EC7">
        <w:rPr>
          <w:i/>
        </w:rPr>
        <w:t xml:space="preserve"> Pour les marchés complexes, ce délai peut proroger par la personne responsable du marché sans toute fois dépassé les dix (10) jours calendaires.</w:t>
      </w:r>
    </w:p>
    <w:p w:rsidR="00D34C66" w:rsidRPr="00D34C66" w:rsidRDefault="00D34C66" w:rsidP="006026FE">
      <w:pPr>
        <w:spacing w:line="276" w:lineRule="auto"/>
        <w:jc w:val="both"/>
      </w:pPr>
      <w:r>
        <w:t xml:space="preserve">La revue des dossiers </w:t>
      </w:r>
      <w:r w:rsidR="0018194C">
        <w:t>de passation de marchés a révélé que les délais d’analyse et évaluation des offres ont été respectés au niveau de sept Autorités Contractantes :</w:t>
      </w:r>
    </w:p>
    <w:p w:rsidR="006470E9" w:rsidRDefault="006470E9" w:rsidP="00D10A01">
      <w:pPr>
        <w:pStyle w:val="Paragraphedeliste"/>
        <w:numPr>
          <w:ilvl w:val="0"/>
          <w:numId w:val="32"/>
        </w:numPr>
        <w:spacing w:line="276" w:lineRule="auto"/>
        <w:jc w:val="both"/>
      </w:pPr>
      <w:r w:rsidRPr="006470E9">
        <w:rPr>
          <w:bCs/>
        </w:rPr>
        <w:t>Société Nigérienne Des Produits Pétroliers</w:t>
      </w:r>
      <w:r>
        <w:t>(</w:t>
      </w:r>
      <w:r w:rsidRPr="006470E9">
        <w:t>SONIDEP</w:t>
      </w:r>
      <w:r>
        <w:t>)</w:t>
      </w:r>
    </w:p>
    <w:p w:rsidR="006470E9" w:rsidRDefault="006470E9" w:rsidP="00D10A01">
      <w:pPr>
        <w:pStyle w:val="Paragraphedeliste"/>
        <w:numPr>
          <w:ilvl w:val="0"/>
          <w:numId w:val="32"/>
        </w:numPr>
        <w:spacing w:line="276" w:lineRule="auto"/>
        <w:jc w:val="both"/>
      </w:pPr>
      <w:r w:rsidRPr="00165CDE">
        <w:rPr>
          <w:bCs/>
        </w:rPr>
        <w:t xml:space="preserve">Office National d'Edition et de Presse </w:t>
      </w:r>
      <w:r>
        <w:rPr>
          <w:bCs/>
        </w:rPr>
        <w:t>(</w:t>
      </w:r>
      <w:r w:rsidR="000B5368">
        <w:t>ONEP</w:t>
      </w:r>
      <w:r>
        <w:t>)</w:t>
      </w:r>
      <w:r w:rsidR="000B5368">
        <w:t>,</w:t>
      </w:r>
    </w:p>
    <w:p w:rsidR="006470E9" w:rsidRDefault="006470E9" w:rsidP="00D10A01">
      <w:pPr>
        <w:pStyle w:val="Paragraphedeliste"/>
        <w:numPr>
          <w:ilvl w:val="0"/>
          <w:numId w:val="32"/>
        </w:numPr>
        <w:spacing w:line="276" w:lineRule="auto"/>
        <w:jc w:val="both"/>
      </w:pPr>
      <w:r w:rsidRPr="00165CDE">
        <w:rPr>
          <w:bCs/>
        </w:rPr>
        <w:t>Centrale d'Approvisionnement en Intrants et Matériels Agricoles</w:t>
      </w:r>
      <w:r>
        <w:t>(</w:t>
      </w:r>
      <w:r w:rsidR="000B5368">
        <w:t>CAIMA</w:t>
      </w:r>
      <w:r>
        <w:t>)</w:t>
      </w:r>
      <w:r w:rsidR="000B5368">
        <w:t xml:space="preserve">, </w:t>
      </w:r>
    </w:p>
    <w:p w:rsidR="006470E9" w:rsidRDefault="000B5368" w:rsidP="00D10A01">
      <w:pPr>
        <w:pStyle w:val="Paragraphedeliste"/>
        <w:numPr>
          <w:ilvl w:val="0"/>
          <w:numId w:val="32"/>
        </w:numPr>
        <w:spacing w:line="276" w:lineRule="auto"/>
        <w:jc w:val="both"/>
      </w:pPr>
      <w:r>
        <w:t xml:space="preserve">Ministère de l’Equipement/CAFER, </w:t>
      </w:r>
    </w:p>
    <w:p w:rsidR="006470E9" w:rsidRDefault="006470E9" w:rsidP="00D10A01">
      <w:pPr>
        <w:pStyle w:val="Paragraphedeliste"/>
        <w:numPr>
          <w:ilvl w:val="0"/>
          <w:numId w:val="32"/>
        </w:numPr>
        <w:spacing w:line="276" w:lineRule="auto"/>
        <w:jc w:val="both"/>
      </w:pPr>
      <w:r w:rsidRPr="00165CDE">
        <w:rPr>
          <w:bCs/>
        </w:rPr>
        <w:t xml:space="preserve">Cellule de Crises Alimentaire </w:t>
      </w:r>
      <w:r>
        <w:rPr>
          <w:bCs/>
        </w:rPr>
        <w:t>(</w:t>
      </w:r>
      <w:r w:rsidR="000B5368">
        <w:t>CCA</w:t>
      </w:r>
      <w:r>
        <w:t>)</w:t>
      </w:r>
      <w:r w:rsidR="000B5368">
        <w:t xml:space="preserve">, </w:t>
      </w:r>
    </w:p>
    <w:p w:rsidR="006470E9" w:rsidRDefault="006470E9" w:rsidP="00D10A01">
      <w:pPr>
        <w:pStyle w:val="Paragraphedeliste"/>
        <w:numPr>
          <w:ilvl w:val="0"/>
          <w:numId w:val="32"/>
        </w:numPr>
        <w:spacing w:line="276" w:lineRule="auto"/>
        <w:jc w:val="both"/>
      </w:pPr>
      <w:r w:rsidRPr="00165CDE">
        <w:rPr>
          <w:bCs/>
        </w:rPr>
        <w:t>Haut-Commissariat à l'Aménagement de la Vallée du Niger</w:t>
      </w:r>
      <w:r>
        <w:t xml:space="preserve"> (HCAVN)</w:t>
      </w:r>
    </w:p>
    <w:p w:rsidR="000B5368" w:rsidRPr="001F0376" w:rsidRDefault="001F0376" w:rsidP="001F0376">
      <w:pPr>
        <w:pStyle w:val="Paragraphedeliste"/>
        <w:numPr>
          <w:ilvl w:val="0"/>
          <w:numId w:val="32"/>
        </w:numPr>
        <w:spacing w:line="276" w:lineRule="auto"/>
        <w:jc w:val="both"/>
        <w:rPr>
          <w:bCs/>
        </w:rPr>
      </w:pPr>
      <w:r w:rsidRPr="006470E9">
        <w:rPr>
          <w:bCs/>
        </w:rPr>
        <w:t>Cell</w:t>
      </w:r>
      <w:r>
        <w:rPr>
          <w:bCs/>
        </w:rPr>
        <w:t>ule de Coordination Humanitaire(</w:t>
      </w:r>
      <w:r w:rsidRPr="006470E9">
        <w:rPr>
          <w:bCs/>
        </w:rPr>
        <w:t>CCH</w:t>
      </w:r>
      <w:r>
        <w:rPr>
          <w:bCs/>
        </w:rPr>
        <w:t>)</w:t>
      </w:r>
      <w:r w:rsidRPr="006470E9">
        <w:rPr>
          <w:bCs/>
        </w:rPr>
        <w:t xml:space="preserve">, </w:t>
      </w:r>
    </w:p>
    <w:p w:rsidR="000B5368" w:rsidRPr="00B63EC7" w:rsidRDefault="000B5368" w:rsidP="006026FE">
      <w:pPr>
        <w:spacing w:line="276" w:lineRule="auto"/>
        <w:jc w:val="both"/>
        <w:rPr>
          <w:bCs/>
        </w:rPr>
      </w:pPr>
      <w:r w:rsidRPr="00B63EC7">
        <w:tab/>
      </w:r>
      <w:r w:rsidRPr="00B63EC7">
        <w:tab/>
      </w:r>
    </w:p>
    <w:p w:rsidR="000B5368" w:rsidRPr="004A53A7" w:rsidRDefault="000B5368" w:rsidP="00D10A01">
      <w:pPr>
        <w:pStyle w:val="Paragraphedeliste"/>
        <w:numPr>
          <w:ilvl w:val="3"/>
          <w:numId w:val="26"/>
        </w:numPr>
        <w:spacing w:after="160" w:line="276" w:lineRule="auto"/>
        <w:jc w:val="both"/>
        <w:rPr>
          <w:bCs/>
        </w:rPr>
      </w:pPr>
      <w:r w:rsidRPr="004A53A7">
        <w:rPr>
          <w:b/>
        </w:rPr>
        <w:t>Respect des délais de transmission à la DGCMP/EF des PV des commissions d’attribution</w:t>
      </w:r>
      <w:r w:rsidR="0018194C">
        <w:rPr>
          <w:b/>
        </w:rPr>
        <w:tab/>
      </w:r>
      <w:r w:rsidR="0018194C">
        <w:rPr>
          <w:b/>
        </w:rPr>
        <w:tab/>
      </w:r>
      <w:r w:rsidR="0018194C">
        <w:rPr>
          <w:b/>
        </w:rPr>
        <w:tab/>
      </w:r>
      <w:r w:rsidR="0018194C">
        <w:rPr>
          <w:b/>
        </w:rPr>
        <w:tab/>
      </w:r>
      <w:r w:rsidR="0018194C">
        <w:rPr>
          <w:b/>
        </w:rPr>
        <w:tab/>
      </w:r>
      <w:r w:rsidR="0018194C">
        <w:rPr>
          <w:b/>
        </w:rPr>
        <w:tab/>
      </w:r>
      <w:r w:rsidR="0018194C">
        <w:rPr>
          <w:b/>
        </w:rPr>
        <w:tab/>
      </w:r>
      <w:r w:rsidR="0018194C">
        <w:rPr>
          <w:b/>
        </w:rPr>
        <w:tab/>
      </w:r>
      <w:r w:rsidR="0018194C">
        <w:rPr>
          <w:b/>
        </w:rPr>
        <w:tab/>
      </w:r>
      <w:r w:rsidR="0018194C">
        <w:rPr>
          <w:b/>
        </w:rPr>
        <w:tab/>
        <w:t>(4/9)</w:t>
      </w:r>
    </w:p>
    <w:p w:rsidR="000B5368" w:rsidRPr="00B63EC7" w:rsidRDefault="000B5368" w:rsidP="006026FE">
      <w:pPr>
        <w:spacing w:line="276" w:lineRule="auto"/>
        <w:jc w:val="both"/>
        <w:rPr>
          <w:b/>
          <w:i/>
        </w:rPr>
      </w:pPr>
      <w:r w:rsidRPr="00B63EC7">
        <w:t>L’article 12 de l’arrêté n°34/CAB/PM/ARMP du 21 janvier 2014 fixant les délais dans le cadre de passation des marchés publics et des délégations de service public stipule  que</w:t>
      </w:r>
      <w:r w:rsidRPr="00B63EC7">
        <w:rPr>
          <w:i/>
        </w:rPr>
        <w:t> : le procès-verbal des travaux des commissions d’attribution ou de négociation est transmis à l’entité administrative chargée du contrôle à priori, dans les quarante (48) heures suivant la date de signature dudit procès-verbal. Après validation le procès-verbal fait l’objet d’une publication.</w:t>
      </w:r>
    </w:p>
    <w:p w:rsidR="006470E9" w:rsidRDefault="000B5368" w:rsidP="006026FE">
      <w:pPr>
        <w:spacing w:line="276" w:lineRule="auto"/>
        <w:jc w:val="both"/>
        <w:rPr>
          <w:bCs/>
        </w:rPr>
      </w:pPr>
      <w:r w:rsidRPr="00B63EC7">
        <w:rPr>
          <w:bCs/>
        </w:rPr>
        <w:t xml:space="preserve">Les Autorités Contractantes </w:t>
      </w:r>
      <w:r w:rsidR="00D34C66">
        <w:rPr>
          <w:bCs/>
        </w:rPr>
        <w:t>qui ont respecté</w:t>
      </w:r>
      <w:r w:rsidRPr="00B63EC7">
        <w:rPr>
          <w:bCs/>
        </w:rPr>
        <w:t xml:space="preserve"> les délais de transmissions à la DGCMP/EF des procès-verbaux des commissions d’attribution sont </w:t>
      </w:r>
      <w:r w:rsidR="00D34C66">
        <w:rPr>
          <w:bCs/>
        </w:rPr>
        <w:t>au nombre de 4/9</w:t>
      </w:r>
      <w:r w:rsidRPr="00B63EC7">
        <w:rPr>
          <w:bCs/>
        </w:rPr>
        <w:t xml:space="preserve"> : </w:t>
      </w:r>
    </w:p>
    <w:p w:rsidR="006470E9" w:rsidRPr="006470E9" w:rsidRDefault="006470E9" w:rsidP="00D10A01">
      <w:pPr>
        <w:pStyle w:val="Paragraphedeliste"/>
        <w:numPr>
          <w:ilvl w:val="0"/>
          <w:numId w:val="31"/>
        </w:numPr>
        <w:spacing w:line="276" w:lineRule="auto"/>
        <w:jc w:val="both"/>
      </w:pPr>
      <w:r w:rsidRPr="006470E9">
        <w:rPr>
          <w:bCs/>
        </w:rPr>
        <w:t>Société Nigérienne Des Produits Pétroliers</w:t>
      </w:r>
      <w:r>
        <w:t>(</w:t>
      </w:r>
      <w:r w:rsidRPr="006470E9">
        <w:t>SONIDEP</w:t>
      </w:r>
      <w:r>
        <w:t>),</w:t>
      </w:r>
    </w:p>
    <w:p w:rsidR="006470E9" w:rsidRDefault="000B5368" w:rsidP="00D10A01">
      <w:pPr>
        <w:pStyle w:val="Paragraphedeliste"/>
        <w:numPr>
          <w:ilvl w:val="0"/>
          <w:numId w:val="31"/>
        </w:numPr>
        <w:spacing w:line="276" w:lineRule="auto"/>
        <w:jc w:val="both"/>
        <w:rPr>
          <w:bCs/>
        </w:rPr>
      </w:pPr>
      <w:r w:rsidRPr="006470E9">
        <w:rPr>
          <w:bCs/>
        </w:rPr>
        <w:t xml:space="preserve">Ministère de l’Equipement/CAFER, </w:t>
      </w:r>
    </w:p>
    <w:p w:rsidR="006470E9" w:rsidRDefault="006470E9" w:rsidP="00D10A01">
      <w:pPr>
        <w:pStyle w:val="Paragraphedeliste"/>
        <w:numPr>
          <w:ilvl w:val="0"/>
          <w:numId w:val="31"/>
        </w:numPr>
        <w:spacing w:line="276" w:lineRule="auto"/>
        <w:jc w:val="both"/>
        <w:rPr>
          <w:bCs/>
        </w:rPr>
      </w:pPr>
      <w:r w:rsidRPr="00165CDE">
        <w:rPr>
          <w:bCs/>
        </w:rPr>
        <w:t xml:space="preserve">Cellule de Crises Alimentaire </w:t>
      </w:r>
      <w:r>
        <w:rPr>
          <w:bCs/>
        </w:rPr>
        <w:t>(</w:t>
      </w:r>
      <w:r>
        <w:t>CCA),</w:t>
      </w:r>
    </w:p>
    <w:p w:rsidR="001F0376" w:rsidRDefault="001F0376" w:rsidP="001F0376">
      <w:pPr>
        <w:pStyle w:val="Paragraphedeliste"/>
        <w:numPr>
          <w:ilvl w:val="0"/>
          <w:numId w:val="31"/>
        </w:numPr>
        <w:spacing w:line="276" w:lineRule="auto"/>
        <w:jc w:val="both"/>
        <w:rPr>
          <w:bCs/>
        </w:rPr>
      </w:pPr>
      <w:r w:rsidRPr="006470E9">
        <w:rPr>
          <w:bCs/>
        </w:rPr>
        <w:t>Cell</w:t>
      </w:r>
      <w:r>
        <w:rPr>
          <w:bCs/>
        </w:rPr>
        <w:t>ule de Coordination Humanitaire(</w:t>
      </w:r>
      <w:r w:rsidRPr="006470E9">
        <w:rPr>
          <w:bCs/>
        </w:rPr>
        <w:t>CCH</w:t>
      </w:r>
      <w:r>
        <w:rPr>
          <w:bCs/>
        </w:rPr>
        <w:t>)</w:t>
      </w:r>
      <w:r w:rsidRPr="006470E9">
        <w:rPr>
          <w:bCs/>
        </w:rPr>
        <w:t xml:space="preserve">, </w:t>
      </w:r>
    </w:p>
    <w:p w:rsidR="006470E9" w:rsidRPr="006470E9" w:rsidRDefault="006470E9" w:rsidP="006470E9">
      <w:pPr>
        <w:pStyle w:val="Paragraphedeliste"/>
        <w:spacing w:line="276" w:lineRule="auto"/>
        <w:jc w:val="both"/>
        <w:rPr>
          <w:bCs/>
        </w:rPr>
      </w:pPr>
    </w:p>
    <w:p w:rsidR="000B5368" w:rsidRPr="004A53A7" w:rsidRDefault="000B5368" w:rsidP="00D10A01">
      <w:pPr>
        <w:pStyle w:val="Paragraphedeliste"/>
        <w:numPr>
          <w:ilvl w:val="3"/>
          <w:numId w:val="26"/>
        </w:numPr>
        <w:spacing w:after="160" w:line="276" w:lineRule="auto"/>
        <w:jc w:val="both"/>
        <w:rPr>
          <w:bCs/>
        </w:rPr>
      </w:pPr>
      <w:r w:rsidRPr="004A53A7">
        <w:rPr>
          <w:b/>
        </w:rPr>
        <w:lastRenderedPageBreak/>
        <w:t xml:space="preserve"> Délais d’information aux candidats </w:t>
      </w:r>
      <w:r w:rsidR="0018194C">
        <w:rPr>
          <w:b/>
        </w:rPr>
        <w:tab/>
      </w:r>
      <w:r w:rsidR="0018194C">
        <w:rPr>
          <w:b/>
        </w:rPr>
        <w:tab/>
      </w:r>
      <w:r w:rsidR="0018194C">
        <w:rPr>
          <w:b/>
        </w:rPr>
        <w:tab/>
      </w:r>
      <w:r w:rsidR="0018194C">
        <w:rPr>
          <w:b/>
        </w:rPr>
        <w:tab/>
      </w:r>
      <w:r w:rsidR="0018194C">
        <w:rPr>
          <w:b/>
        </w:rPr>
        <w:tab/>
      </w:r>
      <w:r w:rsidR="0018194C">
        <w:rPr>
          <w:b/>
        </w:rPr>
        <w:tab/>
        <w:t>(3/9)</w:t>
      </w:r>
    </w:p>
    <w:p w:rsidR="00CB3AA6" w:rsidRPr="00212614" w:rsidRDefault="00CB3AA6" w:rsidP="00CB3AA6">
      <w:pPr>
        <w:spacing w:line="276" w:lineRule="auto"/>
        <w:rPr>
          <w:color w:val="000000" w:themeColor="text1"/>
        </w:rPr>
      </w:pPr>
      <w:r w:rsidRPr="00212614">
        <w:rPr>
          <w:color w:val="000000" w:themeColor="text1"/>
        </w:rPr>
        <w:t xml:space="preserve">L’article 13 de l’arrêté 34/CAB/PM/ARMP  fixant  les délais dans le cadre du processus de passation des marchés publics  stipule que : «  </w:t>
      </w:r>
      <w:r w:rsidRPr="00212614">
        <w:rPr>
          <w:i/>
          <w:color w:val="000000" w:themeColor="text1"/>
        </w:rPr>
        <w:t>la personne responsable des marché informe obligatoirement le ou les candidat(s) retenu(s) du résultat de l’appel d’offres ou de la consultation dans un délai qui ne peut être supérieur à deux jours ouvrable à compter de la réception de l’avis de non objection de l’entité administrative chargée de contrôle a priori. A défaut de réponse de l’entité administrative chargée de contrôle a priori, ce délai court à compter du huitième (8</w:t>
      </w:r>
      <w:r w:rsidRPr="00212614">
        <w:rPr>
          <w:i/>
          <w:color w:val="000000" w:themeColor="text1"/>
          <w:vertAlign w:val="superscript"/>
        </w:rPr>
        <w:t>ème</w:t>
      </w:r>
      <w:r w:rsidRPr="00212614">
        <w:rPr>
          <w:i/>
          <w:color w:val="000000" w:themeColor="text1"/>
        </w:rPr>
        <w:t>) jour ouvrable de la transmission du dossier</w:t>
      </w:r>
      <w:r w:rsidRPr="00212614">
        <w:rPr>
          <w:color w:val="000000" w:themeColor="text1"/>
        </w:rPr>
        <w:t>.</w:t>
      </w:r>
    </w:p>
    <w:p w:rsidR="00CB3AA6" w:rsidRPr="00212614" w:rsidRDefault="00CB3AA6" w:rsidP="00CB3AA6">
      <w:pPr>
        <w:spacing w:line="276" w:lineRule="auto"/>
        <w:rPr>
          <w:i/>
          <w:color w:val="000000" w:themeColor="text1"/>
        </w:rPr>
      </w:pPr>
      <w:r w:rsidRPr="00212614">
        <w:rPr>
          <w:i/>
          <w:color w:val="000000" w:themeColor="text1"/>
        </w:rPr>
        <w:t>Dans le même temps, la personne responsable du marché doit informer, obligatoirement les autres candidats écartés des motifs du rejet de leur offre ainsi que le montant du marché attribué et le nom de l’attributaire.</w:t>
      </w:r>
    </w:p>
    <w:p w:rsidR="00CB3AA6" w:rsidRPr="00212614" w:rsidRDefault="00CB3AA6" w:rsidP="00CB3AA6">
      <w:pPr>
        <w:spacing w:line="276" w:lineRule="auto"/>
        <w:rPr>
          <w:i/>
          <w:color w:val="000000" w:themeColor="text1"/>
        </w:rPr>
      </w:pPr>
      <w:r w:rsidRPr="00212614">
        <w:rPr>
          <w:i/>
          <w:color w:val="000000" w:themeColor="text1"/>
        </w:rPr>
        <w:t>Lorsque le marché a été déclaré infructueux, la personne responsable du marché doit obligatoirement en informer également tous les candidats.</w:t>
      </w:r>
    </w:p>
    <w:p w:rsidR="00CB3AA6" w:rsidRPr="00212614" w:rsidRDefault="00CB3AA6" w:rsidP="00CB3AA6">
      <w:pPr>
        <w:spacing w:line="276" w:lineRule="auto"/>
        <w:rPr>
          <w:i/>
          <w:color w:val="000000" w:themeColor="text1"/>
        </w:rPr>
      </w:pPr>
      <w:r w:rsidRPr="00212614">
        <w:rPr>
          <w:i/>
          <w:color w:val="000000" w:themeColor="text1"/>
        </w:rPr>
        <w:t>Cette information est faite par correspondances adressées aux intéressés et par publication du procès-verbal dans un journal de large diffusion ».</w:t>
      </w:r>
    </w:p>
    <w:p w:rsidR="00CB3AA6" w:rsidRDefault="00CB3AA6" w:rsidP="006026FE">
      <w:pPr>
        <w:spacing w:line="276" w:lineRule="auto"/>
        <w:jc w:val="both"/>
      </w:pPr>
      <w:r w:rsidRPr="00CB3AA6">
        <w:t xml:space="preserve">L’analyse des  délais d’information aux candidats révèle que ces délais ont été respectés au niveau de </w:t>
      </w:r>
      <w:r>
        <w:t>trois (03</w:t>
      </w:r>
      <w:r w:rsidRPr="00CB3AA6">
        <w:t>) autorités contractantes</w:t>
      </w:r>
      <w:r>
        <w:t> :</w:t>
      </w:r>
    </w:p>
    <w:p w:rsidR="006470E9" w:rsidRDefault="000B5368" w:rsidP="00D10A01">
      <w:pPr>
        <w:pStyle w:val="Paragraphedeliste"/>
        <w:numPr>
          <w:ilvl w:val="0"/>
          <w:numId w:val="33"/>
        </w:numPr>
        <w:spacing w:line="276" w:lineRule="auto"/>
        <w:jc w:val="both"/>
      </w:pPr>
      <w:r>
        <w:t xml:space="preserve">Ministère de l’Equipement /CAFER, </w:t>
      </w:r>
    </w:p>
    <w:p w:rsidR="00350871" w:rsidRDefault="00350871" w:rsidP="00D10A01">
      <w:pPr>
        <w:pStyle w:val="Paragraphedeliste"/>
        <w:numPr>
          <w:ilvl w:val="0"/>
          <w:numId w:val="33"/>
        </w:numPr>
        <w:spacing w:line="276" w:lineRule="auto"/>
        <w:jc w:val="both"/>
        <w:rPr>
          <w:bCs/>
        </w:rPr>
      </w:pPr>
      <w:r w:rsidRPr="00165CDE">
        <w:rPr>
          <w:bCs/>
        </w:rPr>
        <w:t xml:space="preserve">Cellule de Crises Alimentaire </w:t>
      </w:r>
      <w:r>
        <w:rPr>
          <w:bCs/>
        </w:rPr>
        <w:t>(</w:t>
      </w:r>
      <w:r>
        <w:t>CCA),</w:t>
      </w:r>
    </w:p>
    <w:p w:rsidR="00350871" w:rsidRPr="006470E9" w:rsidRDefault="001F0376" w:rsidP="00D10A01">
      <w:pPr>
        <w:pStyle w:val="Paragraphedeliste"/>
        <w:numPr>
          <w:ilvl w:val="0"/>
          <w:numId w:val="33"/>
        </w:numPr>
        <w:spacing w:line="276" w:lineRule="auto"/>
        <w:jc w:val="both"/>
        <w:rPr>
          <w:bCs/>
        </w:rPr>
      </w:pPr>
      <w:r>
        <w:t>Cellule de Coordination Humanitaire</w:t>
      </w:r>
      <w:r w:rsidR="00350871">
        <w:t xml:space="preserve"> (CCH)</w:t>
      </w:r>
    </w:p>
    <w:p w:rsidR="004A53A7" w:rsidRDefault="004A53A7" w:rsidP="006026FE">
      <w:pPr>
        <w:spacing w:after="160" w:line="276" w:lineRule="auto"/>
        <w:jc w:val="both"/>
        <w:rPr>
          <w:b/>
        </w:rPr>
      </w:pPr>
    </w:p>
    <w:p w:rsidR="000B5368" w:rsidRPr="006E66C5" w:rsidRDefault="000B5368" w:rsidP="00D10A01">
      <w:pPr>
        <w:pStyle w:val="Paragraphedeliste"/>
        <w:numPr>
          <w:ilvl w:val="3"/>
          <w:numId w:val="26"/>
        </w:numPr>
        <w:spacing w:after="160" w:line="276" w:lineRule="auto"/>
        <w:jc w:val="both"/>
      </w:pPr>
      <w:r w:rsidRPr="004A53A7">
        <w:rPr>
          <w:b/>
        </w:rPr>
        <w:t>Respect des délais de signature des marchés de l’attributaire</w:t>
      </w:r>
      <w:r w:rsidR="00067F73">
        <w:rPr>
          <w:b/>
        </w:rPr>
        <w:tab/>
      </w:r>
      <w:r w:rsidR="00067F73">
        <w:rPr>
          <w:b/>
        </w:rPr>
        <w:tab/>
      </w:r>
      <w:r w:rsidR="00067F73">
        <w:rPr>
          <w:b/>
        </w:rPr>
        <w:tab/>
      </w:r>
      <w:r w:rsidRPr="004A53A7">
        <w:rPr>
          <w:b/>
        </w:rPr>
        <w:t xml:space="preserve"> (1/9)</w:t>
      </w:r>
    </w:p>
    <w:p w:rsidR="000B5368" w:rsidRDefault="00067F73" w:rsidP="006026FE">
      <w:pPr>
        <w:spacing w:line="276" w:lineRule="auto"/>
        <w:jc w:val="both"/>
      </w:pPr>
      <w:r>
        <w:t>La revue du respect des</w:t>
      </w:r>
      <w:r w:rsidR="000B5368">
        <w:t xml:space="preserve">  délais de signature des marchés par l’Attributaire a révélé que</w:t>
      </w:r>
      <w:r>
        <w:t xml:space="preserve"> ce délai a été respecté au niveau de </w:t>
      </w:r>
      <w:r w:rsidR="000B5368">
        <w:t xml:space="preserve"> la Cellule de Coordination Humanitaire</w:t>
      </w:r>
      <w:r>
        <w:t xml:space="preserve"> (CCH).</w:t>
      </w:r>
    </w:p>
    <w:p w:rsidR="004A53A7" w:rsidRDefault="004A53A7" w:rsidP="006026FE">
      <w:pPr>
        <w:spacing w:after="160" w:line="276" w:lineRule="auto"/>
        <w:jc w:val="both"/>
        <w:rPr>
          <w:b/>
        </w:rPr>
      </w:pPr>
    </w:p>
    <w:p w:rsidR="000B5368" w:rsidRPr="006E66C5" w:rsidRDefault="000B5368" w:rsidP="00D10A01">
      <w:pPr>
        <w:pStyle w:val="Paragraphedeliste"/>
        <w:numPr>
          <w:ilvl w:val="3"/>
          <w:numId w:val="26"/>
        </w:numPr>
        <w:spacing w:after="160" w:line="276" w:lineRule="auto"/>
        <w:jc w:val="both"/>
      </w:pPr>
      <w:r w:rsidRPr="004A53A7">
        <w:rPr>
          <w:b/>
        </w:rPr>
        <w:t>Commission ad’hoc d’ouverture des plis et d’évaluation des offres</w:t>
      </w:r>
      <w:r w:rsidR="00067F73">
        <w:rPr>
          <w:b/>
        </w:rPr>
        <w:tab/>
      </w:r>
      <w:r w:rsidR="00067F73">
        <w:rPr>
          <w:b/>
        </w:rPr>
        <w:tab/>
        <w:t>(9/9)</w:t>
      </w:r>
    </w:p>
    <w:p w:rsidR="000B5368" w:rsidRDefault="00617015" w:rsidP="006026FE">
      <w:pPr>
        <w:spacing w:line="276" w:lineRule="auto"/>
        <w:jc w:val="both"/>
      </w:pPr>
      <w:r>
        <w:t>L</w:t>
      </w:r>
      <w:r w:rsidR="000B5368">
        <w:t>es membres des commissions</w:t>
      </w:r>
      <w:r w:rsidR="00523945">
        <w:t xml:space="preserve"> </w:t>
      </w:r>
      <w:r w:rsidRPr="00212614">
        <w:rPr>
          <w:color w:val="000000" w:themeColor="text1"/>
        </w:rPr>
        <w:t>ad hoc d’ouverture des plis et d’attribution des marchés</w:t>
      </w:r>
      <w:r w:rsidR="000B5368">
        <w:t xml:space="preserve"> sont nommés ou désignés conformément aux dispositions des arrêtés 141 et 145 portant création, attributions, type et fonctionnement de la commission ad’hoc d’ouverture des plis et d’évaluation des offres des marchés publics et des délégations de service public.</w:t>
      </w:r>
      <w:r w:rsidR="00350871">
        <w:t xml:space="preserve"> Ce point fort regroupe toutes les autorités contractantes du lot 2 :</w:t>
      </w:r>
    </w:p>
    <w:p w:rsidR="00350871" w:rsidRDefault="00350871" w:rsidP="006026FE">
      <w:pPr>
        <w:spacing w:line="276" w:lineRule="auto"/>
        <w:jc w:val="both"/>
      </w:pPr>
    </w:p>
    <w:p w:rsidR="00350871" w:rsidRPr="00165CDE" w:rsidRDefault="00350871" w:rsidP="00D10A01">
      <w:pPr>
        <w:pStyle w:val="Paragraphedeliste"/>
        <w:numPr>
          <w:ilvl w:val="0"/>
          <w:numId w:val="29"/>
        </w:numPr>
        <w:spacing w:line="276" w:lineRule="auto"/>
        <w:jc w:val="both"/>
      </w:pPr>
      <w:r w:rsidRPr="00165CDE">
        <w:rPr>
          <w:bCs/>
        </w:rPr>
        <w:t xml:space="preserve">Société Nigérienne Des Produits Pétroliers (SONIDEP), </w:t>
      </w:r>
    </w:p>
    <w:p w:rsidR="00350871" w:rsidRPr="00165CDE" w:rsidRDefault="00350871" w:rsidP="00D10A01">
      <w:pPr>
        <w:pStyle w:val="Paragraphedeliste"/>
        <w:numPr>
          <w:ilvl w:val="0"/>
          <w:numId w:val="29"/>
        </w:numPr>
        <w:spacing w:line="276" w:lineRule="auto"/>
        <w:jc w:val="both"/>
      </w:pPr>
      <w:r w:rsidRPr="00165CDE">
        <w:rPr>
          <w:bCs/>
        </w:rPr>
        <w:t xml:space="preserve">Office National d'Edition et de Presse (ONEP), </w:t>
      </w:r>
    </w:p>
    <w:p w:rsidR="00350871" w:rsidRPr="00165CDE" w:rsidRDefault="00350871" w:rsidP="00D10A01">
      <w:pPr>
        <w:pStyle w:val="Paragraphedeliste"/>
        <w:numPr>
          <w:ilvl w:val="0"/>
          <w:numId w:val="29"/>
        </w:numPr>
        <w:spacing w:line="276" w:lineRule="auto"/>
        <w:jc w:val="both"/>
      </w:pPr>
      <w:r w:rsidRPr="00165CDE">
        <w:rPr>
          <w:bCs/>
        </w:rPr>
        <w:t>Centrale d'Approvisionnement en Intrants et Matériels Agricoles (CAIMA),</w:t>
      </w:r>
    </w:p>
    <w:p w:rsidR="00350871" w:rsidRPr="00165CDE" w:rsidRDefault="00350871" w:rsidP="00D10A01">
      <w:pPr>
        <w:pStyle w:val="Paragraphedeliste"/>
        <w:numPr>
          <w:ilvl w:val="0"/>
          <w:numId w:val="29"/>
        </w:numPr>
        <w:spacing w:line="276" w:lineRule="auto"/>
        <w:jc w:val="both"/>
      </w:pPr>
      <w:r w:rsidRPr="00165CDE">
        <w:rPr>
          <w:bCs/>
        </w:rPr>
        <w:t xml:space="preserve"> Ministère de l'Equipement/CAFER </w:t>
      </w:r>
    </w:p>
    <w:p w:rsidR="00350871" w:rsidRPr="00165CDE" w:rsidRDefault="00350871" w:rsidP="00D10A01">
      <w:pPr>
        <w:pStyle w:val="Paragraphedeliste"/>
        <w:numPr>
          <w:ilvl w:val="0"/>
          <w:numId w:val="29"/>
        </w:numPr>
        <w:spacing w:line="276" w:lineRule="auto"/>
        <w:jc w:val="both"/>
      </w:pPr>
      <w:r w:rsidRPr="00165CDE">
        <w:rPr>
          <w:bCs/>
        </w:rPr>
        <w:t xml:space="preserve">Cellule de Crises Alimentaire (CCA), </w:t>
      </w:r>
    </w:p>
    <w:p w:rsidR="00350871" w:rsidRPr="00165CDE" w:rsidRDefault="00350871" w:rsidP="00D10A01">
      <w:pPr>
        <w:pStyle w:val="Paragraphedeliste"/>
        <w:numPr>
          <w:ilvl w:val="0"/>
          <w:numId w:val="29"/>
        </w:numPr>
        <w:spacing w:line="276" w:lineRule="auto"/>
        <w:jc w:val="both"/>
      </w:pPr>
      <w:r w:rsidRPr="00165CDE">
        <w:rPr>
          <w:bCs/>
        </w:rPr>
        <w:t xml:space="preserve">Haut-Commissariat à l'Aménagement de la Vallée du Niger (HCAVN), </w:t>
      </w:r>
    </w:p>
    <w:p w:rsidR="00350871" w:rsidRPr="006470E9" w:rsidRDefault="00350871" w:rsidP="00D10A01">
      <w:pPr>
        <w:pStyle w:val="Paragraphedeliste"/>
        <w:numPr>
          <w:ilvl w:val="0"/>
          <w:numId w:val="29"/>
        </w:numPr>
        <w:spacing w:line="276" w:lineRule="auto"/>
        <w:jc w:val="both"/>
      </w:pPr>
      <w:r w:rsidRPr="00165CDE">
        <w:rPr>
          <w:bCs/>
        </w:rPr>
        <w:t xml:space="preserve">Cellule de Coordination Humanitaire (CCH), </w:t>
      </w:r>
    </w:p>
    <w:p w:rsidR="00350871" w:rsidRPr="00350871" w:rsidRDefault="00350871" w:rsidP="00D10A01">
      <w:pPr>
        <w:pStyle w:val="Paragraphedeliste"/>
        <w:numPr>
          <w:ilvl w:val="0"/>
          <w:numId w:val="29"/>
        </w:numPr>
        <w:spacing w:line="276" w:lineRule="auto"/>
        <w:jc w:val="both"/>
      </w:pPr>
      <w:r>
        <w:rPr>
          <w:bCs/>
        </w:rPr>
        <w:lastRenderedPageBreak/>
        <w:t>Ville de Niamey ;</w:t>
      </w:r>
    </w:p>
    <w:p w:rsidR="00350871" w:rsidRPr="006026FE" w:rsidRDefault="00350871" w:rsidP="00D10A01">
      <w:pPr>
        <w:pStyle w:val="Paragraphedeliste"/>
        <w:numPr>
          <w:ilvl w:val="0"/>
          <w:numId w:val="29"/>
        </w:numPr>
        <w:spacing w:line="276" w:lineRule="auto"/>
        <w:jc w:val="both"/>
      </w:pPr>
      <w:r>
        <w:rPr>
          <w:bCs/>
        </w:rPr>
        <w:t>Direction Régionale de l’Hydraulique et de l’Assainissement de Tillabéri(DRHA/Ti) </w:t>
      </w:r>
    </w:p>
    <w:p w:rsidR="00067F73" w:rsidRDefault="00067F73" w:rsidP="006026FE">
      <w:pPr>
        <w:spacing w:after="160" w:line="276" w:lineRule="auto"/>
        <w:jc w:val="both"/>
        <w:rPr>
          <w:b/>
        </w:rPr>
      </w:pPr>
    </w:p>
    <w:p w:rsidR="00F56AB4" w:rsidRDefault="00F56AB4" w:rsidP="006026FE">
      <w:pPr>
        <w:spacing w:after="160" w:line="276" w:lineRule="auto"/>
        <w:jc w:val="both"/>
        <w:rPr>
          <w:b/>
        </w:rPr>
      </w:pPr>
    </w:p>
    <w:p w:rsidR="000B5368" w:rsidRPr="004A53A7" w:rsidRDefault="000B5368" w:rsidP="00D10A01">
      <w:pPr>
        <w:pStyle w:val="Paragraphedeliste"/>
        <w:numPr>
          <w:ilvl w:val="3"/>
          <w:numId w:val="26"/>
        </w:numPr>
        <w:spacing w:after="160" w:line="276" w:lineRule="auto"/>
        <w:jc w:val="both"/>
        <w:rPr>
          <w:b/>
        </w:rPr>
      </w:pPr>
      <w:r w:rsidRPr="004A53A7">
        <w:rPr>
          <w:b/>
        </w:rPr>
        <w:t>Sécurité des offres</w:t>
      </w:r>
      <w:r w:rsidR="00067F73">
        <w:rPr>
          <w:b/>
        </w:rPr>
        <w:tab/>
      </w:r>
      <w:r w:rsidR="00067F73">
        <w:rPr>
          <w:b/>
        </w:rPr>
        <w:tab/>
      </w:r>
      <w:r w:rsidR="00067F73">
        <w:rPr>
          <w:b/>
        </w:rPr>
        <w:tab/>
      </w:r>
      <w:r w:rsidR="00067F73">
        <w:rPr>
          <w:b/>
        </w:rPr>
        <w:tab/>
      </w:r>
      <w:r w:rsidR="00067F73">
        <w:rPr>
          <w:b/>
        </w:rPr>
        <w:tab/>
      </w:r>
      <w:r w:rsidR="00067F73">
        <w:rPr>
          <w:b/>
        </w:rPr>
        <w:tab/>
      </w:r>
      <w:r w:rsidR="00067F73">
        <w:rPr>
          <w:b/>
        </w:rPr>
        <w:tab/>
      </w:r>
      <w:r w:rsidR="00067F73">
        <w:rPr>
          <w:b/>
        </w:rPr>
        <w:tab/>
      </w:r>
      <w:r w:rsidR="00067F73">
        <w:rPr>
          <w:b/>
        </w:rPr>
        <w:tab/>
        <w:t xml:space="preserve"> (9/9)</w:t>
      </w:r>
    </w:p>
    <w:p w:rsidR="00350871" w:rsidRDefault="00067F73" w:rsidP="00350871">
      <w:pPr>
        <w:spacing w:line="276" w:lineRule="auto"/>
        <w:jc w:val="both"/>
        <w:rPr>
          <w:color w:val="000000"/>
        </w:rPr>
      </w:pPr>
      <w:r>
        <w:rPr>
          <w:color w:val="000000"/>
        </w:rPr>
        <w:t xml:space="preserve">Un dispositif de sécurité est mis en place par chaque Autorité Contractante </w:t>
      </w:r>
      <w:r w:rsidR="00350871">
        <w:rPr>
          <w:color w:val="000000"/>
        </w:rPr>
        <w:t xml:space="preserve">du lot 2 </w:t>
      </w:r>
      <w:r>
        <w:rPr>
          <w:color w:val="000000"/>
        </w:rPr>
        <w:t>pour la sécurisation des offres</w:t>
      </w:r>
      <w:r w:rsidR="00350871">
        <w:rPr>
          <w:color w:val="000000"/>
        </w:rPr>
        <w:t> :</w:t>
      </w:r>
    </w:p>
    <w:p w:rsidR="00350871" w:rsidRPr="00165CDE" w:rsidRDefault="00350871" w:rsidP="00D10A01">
      <w:pPr>
        <w:pStyle w:val="Paragraphedeliste"/>
        <w:numPr>
          <w:ilvl w:val="0"/>
          <w:numId w:val="34"/>
        </w:numPr>
        <w:spacing w:line="276" w:lineRule="auto"/>
        <w:jc w:val="both"/>
      </w:pPr>
      <w:r w:rsidRPr="00350871">
        <w:rPr>
          <w:bCs/>
        </w:rPr>
        <w:t xml:space="preserve">Société Nigérienne Des Produits Pétroliers (SONIDEP), </w:t>
      </w:r>
    </w:p>
    <w:p w:rsidR="00350871" w:rsidRPr="00165CDE" w:rsidRDefault="00350871" w:rsidP="00D10A01">
      <w:pPr>
        <w:pStyle w:val="Paragraphedeliste"/>
        <w:numPr>
          <w:ilvl w:val="0"/>
          <w:numId w:val="29"/>
        </w:numPr>
        <w:spacing w:line="276" w:lineRule="auto"/>
        <w:jc w:val="both"/>
      </w:pPr>
      <w:r w:rsidRPr="00165CDE">
        <w:rPr>
          <w:bCs/>
        </w:rPr>
        <w:t xml:space="preserve">Office National d'Edition et de Presse (ONEP), </w:t>
      </w:r>
    </w:p>
    <w:p w:rsidR="00350871" w:rsidRPr="00165CDE" w:rsidRDefault="00350871" w:rsidP="00D10A01">
      <w:pPr>
        <w:pStyle w:val="Paragraphedeliste"/>
        <w:numPr>
          <w:ilvl w:val="0"/>
          <w:numId w:val="29"/>
        </w:numPr>
        <w:spacing w:line="276" w:lineRule="auto"/>
        <w:jc w:val="both"/>
      </w:pPr>
      <w:r w:rsidRPr="00165CDE">
        <w:rPr>
          <w:bCs/>
        </w:rPr>
        <w:t>Centrale d'Approvisionnement en Intrants et Matériels Agricoles (CAIMA),</w:t>
      </w:r>
    </w:p>
    <w:p w:rsidR="00350871" w:rsidRPr="00165CDE" w:rsidRDefault="00350871" w:rsidP="00D10A01">
      <w:pPr>
        <w:pStyle w:val="Paragraphedeliste"/>
        <w:numPr>
          <w:ilvl w:val="0"/>
          <w:numId w:val="29"/>
        </w:numPr>
        <w:spacing w:line="276" w:lineRule="auto"/>
        <w:jc w:val="both"/>
      </w:pPr>
      <w:r w:rsidRPr="00165CDE">
        <w:rPr>
          <w:bCs/>
        </w:rPr>
        <w:t xml:space="preserve"> Ministère de l'Equipement/CAFER </w:t>
      </w:r>
    </w:p>
    <w:p w:rsidR="00350871" w:rsidRPr="00165CDE" w:rsidRDefault="00350871" w:rsidP="00D10A01">
      <w:pPr>
        <w:pStyle w:val="Paragraphedeliste"/>
        <w:numPr>
          <w:ilvl w:val="0"/>
          <w:numId w:val="29"/>
        </w:numPr>
        <w:spacing w:line="276" w:lineRule="auto"/>
        <w:jc w:val="both"/>
      </w:pPr>
      <w:r w:rsidRPr="00165CDE">
        <w:rPr>
          <w:bCs/>
        </w:rPr>
        <w:t xml:space="preserve">Cellule de Crises Alimentaire (CCA), </w:t>
      </w:r>
    </w:p>
    <w:p w:rsidR="00350871" w:rsidRPr="00165CDE" w:rsidRDefault="00350871" w:rsidP="00D10A01">
      <w:pPr>
        <w:pStyle w:val="Paragraphedeliste"/>
        <w:numPr>
          <w:ilvl w:val="0"/>
          <w:numId w:val="29"/>
        </w:numPr>
        <w:spacing w:line="276" w:lineRule="auto"/>
        <w:jc w:val="both"/>
      </w:pPr>
      <w:r w:rsidRPr="00165CDE">
        <w:rPr>
          <w:bCs/>
        </w:rPr>
        <w:t xml:space="preserve">Haut-Commissariat à l'Aménagement de la Vallée du Niger (HCAVN), </w:t>
      </w:r>
    </w:p>
    <w:p w:rsidR="00350871" w:rsidRPr="006470E9" w:rsidRDefault="00350871" w:rsidP="00D10A01">
      <w:pPr>
        <w:pStyle w:val="Paragraphedeliste"/>
        <w:numPr>
          <w:ilvl w:val="0"/>
          <w:numId w:val="29"/>
        </w:numPr>
        <w:spacing w:line="276" w:lineRule="auto"/>
        <w:jc w:val="both"/>
      </w:pPr>
      <w:r w:rsidRPr="00165CDE">
        <w:rPr>
          <w:bCs/>
        </w:rPr>
        <w:t xml:space="preserve">Cellule de Coordination Humanitaire (CCH), </w:t>
      </w:r>
    </w:p>
    <w:p w:rsidR="00350871" w:rsidRPr="00350871" w:rsidRDefault="00350871" w:rsidP="00D10A01">
      <w:pPr>
        <w:pStyle w:val="Paragraphedeliste"/>
        <w:numPr>
          <w:ilvl w:val="0"/>
          <w:numId w:val="29"/>
        </w:numPr>
        <w:spacing w:line="276" w:lineRule="auto"/>
        <w:jc w:val="both"/>
      </w:pPr>
      <w:r>
        <w:rPr>
          <w:bCs/>
        </w:rPr>
        <w:t>Ville de Niamey ;</w:t>
      </w:r>
    </w:p>
    <w:p w:rsidR="00350871" w:rsidRPr="00350871" w:rsidRDefault="00350871" w:rsidP="00D10A01">
      <w:pPr>
        <w:pStyle w:val="Paragraphedeliste"/>
        <w:numPr>
          <w:ilvl w:val="0"/>
          <w:numId w:val="29"/>
        </w:numPr>
        <w:spacing w:line="276" w:lineRule="auto"/>
        <w:jc w:val="both"/>
      </w:pPr>
      <w:r>
        <w:rPr>
          <w:bCs/>
        </w:rPr>
        <w:t>Direction Régionale de l’Hydraulique et de l’Assainissement de Tillabéri</w:t>
      </w:r>
      <w:r w:rsidR="002429C4">
        <w:rPr>
          <w:bCs/>
        </w:rPr>
        <w:t xml:space="preserve"> </w:t>
      </w:r>
      <w:r>
        <w:rPr>
          <w:bCs/>
        </w:rPr>
        <w:t>(DRHA/Ti) </w:t>
      </w:r>
    </w:p>
    <w:p w:rsidR="00067F73" w:rsidRDefault="00067F73" w:rsidP="006026FE">
      <w:pPr>
        <w:spacing w:line="276" w:lineRule="auto"/>
        <w:jc w:val="both"/>
        <w:rPr>
          <w:b/>
        </w:rPr>
      </w:pPr>
    </w:p>
    <w:p w:rsidR="000B5368" w:rsidRPr="004A53A7" w:rsidRDefault="000B5368" w:rsidP="00156E32">
      <w:pPr>
        <w:pStyle w:val="Paragraphedeliste"/>
        <w:numPr>
          <w:ilvl w:val="3"/>
          <w:numId w:val="26"/>
        </w:numPr>
        <w:spacing w:line="276" w:lineRule="auto"/>
        <w:rPr>
          <w:color w:val="000000"/>
        </w:rPr>
      </w:pPr>
      <w:r w:rsidRPr="004A53A7">
        <w:rPr>
          <w:b/>
        </w:rPr>
        <w:t>Signature et approbation des marchés</w:t>
      </w:r>
      <w:r w:rsidR="00067F73">
        <w:rPr>
          <w:b/>
        </w:rPr>
        <w:tab/>
      </w:r>
      <w:r w:rsidR="00067F73">
        <w:rPr>
          <w:b/>
        </w:rPr>
        <w:tab/>
      </w:r>
      <w:r w:rsidR="00067F73">
        <w:rPr>
          <w:b/>
        </w:rPr>
        <w:tab/>
      </w:r>
      <w:r w:rsidR="00067F73">
        <w:rPr>
          <w:b/>
        </w:rPr>
        <w:tab/>
      </w:r>
      <w:r w:rsidR="00067F73">
        <w:rPr>
          <w:b/>
        </w:rPr>
        <w:tab/>
      </w:r>
      <w:r w:rsidRPr="004A53A7">
        <w:rPr>
          <w:b/>
        </w:rPr>
        <w:t xml:space="preserve"> (8/9)</w:t>
      </w:r>
    </w:p>
    <w:p w:rsidR="000B5368" w:rsidRDefault="000B5368" w:rsidP="006026FE">
      <w:pPr>
        <w:spacing w:line="276" w:lineRule="auto"/>
        <w:ind w:left="426"/>
        <w:jc w:val="both"/>
      </w:pPr>
    </w:p>
    <w:p w:rsidR="000B5368" w:rsidRDefault="000B5368" w:rsidP="006026FE">
      <w:pPr>
        <w:spacing w:line="276" w:lineRule="auto"/>
        <w:jc w:val="both"/>
        <w:rPr>
          <w:b/>
        </w:rPr>
      </w:pPr>
      <w:r>
        <w:t xml:space="preserve">Les marchés des Autorités Contractantes </w:t>
      </w:r>
      <w:r w:rsidR="00617015">
        <w:t xml:space="preserve">du lot 2 </w:t>
      </w:r>
      <w:r>
        <w:t xml:space="preserve">suivantes ont été signés et approuvés par les personnes habilitées conformément aux dispositions de </w:t>
      </w:r>
      <w:r w:rsidRPr="0057750A">
        <w:t>l’article 6 et 11 de l</w:t>
      </w:r>
      <w:r>
        <w:t xml:space="preserve">’arrêté n°36 du 21 janvier 2014 : </w:t>
      </w:r>
    </w:p>
    <w:p w:rsidR="00350871" w:rsidRPr="00165CDE" w:rsidRDefault="00350871" w:rsidP="00D10A01">
      <w:pPr>
        <w:pStyle w:val="Paragraphedeliste"/>
        <w:numPr>
          <w:ilvl w:val="0"/>
          <w:numId w:val="29"/>
        </w:numPr>
        <w:spacing w:line="276" w:lineRule="auto"/>
        <w:jc w:val="both"/>
      </w:pPr>
      <w:r w:rsidRPr="00165CDE">
        <w:rPr>
          <w:bCs/>
        </w:rPr>
        <w:t xml:space="preserve">Office National d'Edition et de Presse (ONEP), </w:t>
      </w:r>
    </w:p>
    <w:p w:rsidR="00350871" w:rsidRPr="00165CDE" w:rsidRDefault="00350871" w:rsidP="00D10A01">
      <w:pPr>
        <w:pStyle w:val="Paragraphedeliste"/>
        <w:numPr>
          <w:ilvl w:val="0"/>
          <w:numId w:val="29"/>
        </w:numPr>
        <w:spacing w:line="276" w:lineRule="auto"/>
        <w:jc w:val="both"/>
      </w:pPr>
      <w:r w:rsidRPr="00165CDE">
        <w:rPr>
          <w:bCs/>
        </w:rPr>
        <w:t>Centrale d'Approvisionnement en Intrants et Matériels Agricoles (CAIMA),</w:t>
      </w:r>
    </w:p>
    <w:p w:rsidR="00350871" w:rsidRPr="00165CDE" w:rsidRDefault="00350871" w:rsidP="00D10A01">
      <w:pPr>
        <w:pStyle w:val="Paragraphedeliste"/>
        <w:numPr>
          <w:ilvl w:val="0"/>
          <w:numId w:val="29"/>
        </w:numPr>
        <w:spacing w:line="276" w:lineRule="auto"/>
        <w:jc w:val="both"/>
      </w:pPr>
      <w:r w:rsidRPr="00165CDE">
        <w:rPr>
          <w:bCs/>
        </w:rPr>
        <w:t xml:space="preserve"> Ministère de l'Equipement/CAFER </w:t>
      </w:r>
    </w:p>
    <w:p w:rsidR="00350871" w:rsidRPr="00165CDE" w:rsidRDefault="00350871" w:rsidP="00D10A01">
      <w:pPr>
        <w:pStyle w:val="Paragraphedeliste"/>
        <w:numPr>
          <w:ilvl w:val="0"/>
          <w:numId w:val="29"/>
        </w:numPr>
        <w:spacing w:line="276" w:lineRule="auto"/>
        <w:jc w:val="both"/>
      </w:pPr>
      <w:r w:rsidRPr="00165CDE">
        <w:rPr>
          <w:bCs/>
        </w:rPr>
        <w:t xml:space="preserve">Cellule de Crises Alimentaire (CCA), </w:t>
      </w:r>
    </w:p>
    <w:p w:rsidR="00350871" w:rsidRPr="00165CDE" w:rsidRDefault="00350871" w:rsidP="00D10A01">
      <w:pPr>
        <w:pStyle w:val="Paragraphedeliste"/>
        <w:numPr>
          <w:ilvl w:val="0"/>
          <w:numId w:val="29"/>
        </w:numPr>
        <w:spacing w:line="276" w:lineRule="auto"/>
        <w:jc w:val="both"/>
      </w:pPr>
      <w:r w:rsidRPr="00165CDE">
        <w:rPr>
          <w:bCs/>
        </w:rPr>
        <w:t xml:space="preserve">Haut-Commissariat à l'Aménagement de la Vallée du Niger (HCAVN), </w:t>
      </w:r>
    </w:p>
    <w:p w:rsidR="00350871" w:rsidRPr="006470E9" w:rsidRDefault="00350871" w:rsidP="00D10A01">
      <w:pPr>
        <w:pStyle w:val="Paragraphedeliste"/>
        <w:numPr>
          <w:ilvl w:val="0"/>
          <w:numId w:val="29"/>
        </w:numPr>
        <w:spacing w:line="276" w:lineRule="auto"/>
        <w:jc w:val="both"/>
      </w:pPr>
      <w:r w:rsidRPr="00165CDE">
        <w:rPr>
          <w:bCs/>
        </w:rPr>
        <w:t xml:space="preserve">Cellule de Coordination Humanitaire (CCH), </w:t>
      </w:r>
    </w:p>
    <w:p w:rsidR="00350871" w:rsidRPr="00350871" w:rsidRDefault="00350871" w:rsidP="00D10A01">
      <w:pPr>
        <w:pStyle w:val="Paragraphedeliste"/>
        <w:numPr>
          <w:ilvl w:val="0"/>
          <w:numId w:val="29"/>
        </w:numPr>
        <w:spacing w:line="276" w:lineRule="auto"/>
        <w:jc w:val="both"/>
      </w:pPr>
      <w:r>
        <w:rPr>
          <w:bCs/>
        </w:rPr>
        <w:t>Ville de Niamey ;</w:t>
      </w:r>
    </w:p>
    <w:p w:rsidR="00350871" w:rsidRPr="00350871" w:rsidRDefault="00350871" w:rsidP="00D10A01">
      <w:pPr>
        <w:pStyle w:val="Paragraphedeliste"/>
        <w:numPr>
          <w:ilvl w:val="0"/>
          <w:numId w:val="29"/>
        </w:numPr>
        <w:spacing w:line="276" w:lineRule="auto"/>
        <w:jc w:val="both"/>
      </w:pPr>
      <w:r>
        <w:rPr>
          <w:bCs/>
        </w:rPr>
        <w:t>Direction Régionale de l’Hydraulique et de l’Assainissement de Tillabéri</w:t>
      </w:r>
      <w:r w:rsidR="002429C4">
        <w:rPr>
          <w:bCs/>
        </w:rPr>
        <w:t xml:space="preserve"> </w:t>
      </w:r>
      <w:r>
        <w:rPr>
          <w:bCs/>
        </w:rPr>
        <w:t>(DRHA/Ti) </w:t>
      </w:r>
    </w:p>
    <w:p w:rsidR="004A53A7" w:rsidRDefault="004A53A7" w:rsidP="006026FE">
      <w:pPr>
        <w:spacing w:after="160" w:line="276" w:lineRule="auto"/>
        <w:jc w:val="both"/>
        <w:rPr>
          <w:b/>
        </w:rPr>
      </w:pPr>
    </w:p>
    <w:p w:rsidR="000B5368" w:rsidRPr="004A53A7" w:rsidRDefault="000B5368" w:rsidP="00617015">
      <w:pPr>
        <w:pStyle w:val="Paragraphedeliste"/>
        <w:numPr>
          <w:ilvl w:val="3"/>
          <w:numId w:val="26"/>
        </w:numPr>
        <w:spacing w:after="160" w:line="276" w:lineRule="auto"/>
        <w:rPr>
          <w:b/>
        </w:rPr>
      </w:pPr>
      <w:r w:rsidRPr="004A53A7">
        <w:rPr>
          <w:b/>
        </w:rPr>
        <w:t xml:space="preserve">Suivi de l’exécution financière des  marchés publics </w:t>
      </w:r>
      <w:r w:rsidR="00067F73">
        <w:rPr>
          <w:b/>
        </w:rPr>
        <w:tab/>
      </w:r>
      <w:r w:rsidR="00067F73">
        <w:rPr>
          <w:b/>
        </w:rPr>
        <w:tab/>
      </w:r>
      <w:r w:rsidR="00067F73">
        <w:rPr>
          <w:b/>
        </w:rPr>
        <w:tab/>
      </w:r>
      <w:r w:rsidR="00465AE8">
        <w:rPr>
          <w:b/>
        </w:rPr>
        <w:t>(4</w:t>
      </w:r>
      <w:r w:rsidRPr="004A53A7">
        <w:rPr>
          <w:b/>
        </w:rPr>
        <w:t>/9)</w:t>
      </w:r>
    </w:p>
    <w:p w:rsidR="000B5368" w:rsidRPr="005B177F" w:rsidRDefault="000B5368" w:rsidP="006026FE">
      <w:pPr>
        <w:spacing w:line="276" w:lineRule="auto"/>
        <w:jc w:val="both"/>
      </w:pPr>
      <w:r>
        <w:t xml:space="preserve">Le suivi de l’exécution financière des marchés publics par la Direction et ou Service des marchés publics et des Délégations de Service Public a été effectué par les Autorités Contractantes suivantes : </w:t>
      </w:r>
    </w:p>
    <w:p w:rsidR="00350871" w:rsidRDefault="00350871" w:rsidP="00465AE8">
      <w:pPr>
        <w:pStyle w:val="Paragraphedeliste"/>
        <w:numPr>
          <w:ilvl w:val="0"/>
          <w:numId w:val="54"/>
        </w:numPr>
      </w:pPr>
      <w:r w:rsidRPr="00350871">
        <w:rPr>
          <w:bCs/>
        </w:rPr>
        <w:t xml:space="preserve">Office National d'Edition et de Presse (ONEP), </w:t>
      </w:r>
    </w:p>
    <w:p w:rsidR="00350871" w:rsidRPr="00165CDE" w:rsidRDefault="00350871" w:rsidP="00465AE8">
      <w:pPr>
        <w:pStyle w:val="Paragraphedeliste"/>
        <w:numPr>
          <w:ilvl w:val="0"/>
          <w:numId w:val="54"/>
        </w:numPr>
        <w:spacing w:line="276" w:lineRule="auto"/>
        <w:jc w:val="both"/>
      </w:pPr>
      <w:r w:rsidRPr="00165CDE">
        <w:rPr>
          <w:bCs/>
        </w:rPr>
        <w:t xml:space="preserve">Cellule de Crises Alimentaire (CCA), </w:t>
      </w:r>
    </w:p>
    <w:p w:rsidR="00350871" w:rsidRPr="00465AE8" w:rsidRDefault="00350871" w:rsidP="00465AE8">
      <w:pPr>
        <w:pStyle w:val="Paragraphedeliste"/>
        <w:numPr>
          <w:ilvl w:val="0"/>
          <w:numId w:val="54"/>
        </w:numPr>
        <w:spacing w:line="276" w:lineRule="auto"/>
        <w:jc w:val="both"/>
      </w:pPr>
      <w:r w:rsidRPr="00165CDE">
        <w:rPr>
          <w:bCs/>
        </w:rPr>
        <w:t xml:space="preserve">Cellule de Coordination Humanitaire (CCH), </w:t>
      </w:r>
    </w:p>
    <w:p w:rsidR="00465AE8" w:rsidRPr="00165CDE" w:rsidRDefault="00465AE8" w:rsidP="00465AE8">
      <w:pPr>
        <w:pStyle w:val="Paragraphedeliste"/>
        <w:numPr>
          <w:ilvl w:val="0"/>
          <w:numId w:val="54"/>
        </w:numPr>
        <w:spacing w:line="276" w:lineRule="auto"/>
        <w:jc w:val="both"/>
      </w:pPr>
      <w:r w:rsidRPr="00165CDE">
        <w:rPr>
          <w:bCs/>
        </w:rPr>
        <w:t>Centrale d'Approvisionnement en Intrants et Matériels Agricoles (CAIMA),</w:t>
      </w:r>
    </w:p>
    <w:p w:rsidR="00465AE8" w:rsidRPr="006470E9" w:rsidRDefault="00465AE8" w:rsidP="00465AE8">
      <w:pPr>
        <w:pStyle w:val="Paragraphedeliste"/>
        <w:spacing w:line="276" w:lineRule="auto"/>
        <w:ind w:left="780"/>
        <w:jc w:val="both"/>
      </w:pPr>
    </w:p>
    <w:p w:rsidR="000B5368" w:rsidRDefault="000B5368" w:rsidP="006026FE">
      <w:pPr>
        <w:spacing w:line="276" w:lineRule="auto"/>
        <w:jc w:val="both"/>
      </w:pPr>
    </w:p>
    <w:p w:rsidR="00350871" w:rsidRDefault="00350871" w:rsidP="006026FE">
      <w:pPr>
        <w:spacing w:line="276" w:lineRule="auto"/>
        <w:jc w:val="both"/>
      </w:pPr>
    </w:p>
    <w:p w:rsidR="00350871" w:rsidRDefault="00350871" w:rsidP="006026FE">
      <w:pPr>
        <w:spacing w:line="276" w:lineRule="auto"/>
        <w:jc w:val="both"/>
      </w:pPr>
    </w:p>
    <w:p w:rsidR="00350871" w:rsidRDefault="00350871" w:rsidP="006026FE">
      <w:pPr>
        <w:spacing w:line="276" w:lineRule="auto"/>
        <w:jc w:val="both"/>
      </w:pPr>
    </w:p>
    <w:p w:rsidR="000B5368" w:rsidRPr="006E06F3" w:rsidRDefault="000B5368" w:rsidP="00D10A01">
      <w:pPr>
        <w:pStyle w:val="Paragraphedeliste"/>
        <w:numPr>
          <w:ilvl w:val="2"/>
          <w:numId w:val="26"/>
        </w:numPr>
        <w:spacing w:line="276" w:lineRule="auto"/>
        <w:jc w:val="both"/>
        <w:rPr>
          <w:b/>
          <w:bCs/>
        </w:rPr>
      </w:pPr>
      <w:r w:rsidRPr="006E06F3">
        <w:rPr>
          <w:b/>
          <w:bCs/>
        </w:rPr>
        <w:t xml:space="preserve">EVALUATION  DE LA PERFORMENCE DES OPERATIONS, ET LA CONFORMITE DES PRESTATIONS </w:t>
      </w:r>
    </w:p>
    <w:p w:rsidR="006E06F3" w:rsidRPr="006E06F3" w:rsidRDefault="006E06F3" w:rsidP="006E06F3">
      <w:pPr>
        <w:spacing w:line="276" w:lineRule="auto"/>
        <w:jc w:val="both"/>
        <w:rPr>
          <w:b/>
          <w:bCs/>
        </w:rPr>
      </w:pPr>
    </w:p>
    <w:p w:rsidR="000B5368" w:rsidRDefault="00617015" w:rsidP="006026FE">
      <w:pPr>
        <w:spacing w:line="276" w:lineRule="auto"/>
        <w:jc w:val="both"/>
        <w:rPr>
          <w:b/>
        </w:rPr>
      </w:pPr>
      <w:r>
        <w:rPr>
          <w:b/>
        </w:rPr>
        <w:t>5.1.2.1</w:t>
      </w:r>
      <w:r w:rsidR="00523945">
        <w:rPr>
          <w:b/>
        </w:rPr>
        <w:t xml:space="preserve"> </w:t>
      </w:r>
      <w:r w:rsidR="000B5368" w:rsidRPr="00021433">
        <w:rPr>
          <w:b/>
        </w:rPr>
        <w:t>Respect des modalités de sélection de l’attributaire</w:t>
      </w:r>
      <w:r w:rsidR="006E06F3">
        <w:rPr>
          <w:b/>
        </w:rPr>
        <w:tab/>
      </w:r>
      <w:r w:rsidR="006E06F3">
        <w:rPr>
          <w:b/>
        </w:rPr>
        <w:tab/>
      </w:r>
      <w:r w:rsidR="006E06F3">
        <w:rPr>
          <w:b/>
        </w:rPr>
        <w:tab/>
      </w:r>
      <w:r w:rsidR="006E06F3">
        <w:rPr>
          <w:b/>
        </w:rPr>
        <w:tab/>
      </w:r>
      <w:r w:rsidR="000B5368">
        <w:rPr>
          <w:b/>
        </w:rPr>
        <w:t>(9/9)</w:t>
      </w:r>
    </w:p>
    <w:p w:rsidR="000B5368" w:rsidRDefault="000B5368" w:rsidP="006026FE">
      <w:pPr>
        <w:spacing w:line="276" w:lineRule="auto"/>
        <w:jc w:val="both"/>
      </w:pPr>
      <w:r w:rsidRPr="00021433">
        <w:t xml:space="preserve">Les modalités de sélection de l’attributaire ont été respectées pour l’ensemble des neuf Autorités Contractantes </w:t>
      </w:r>
      <w:r w:rsidR="00350871">
        <w:t>du lot 2 sélectionnées :</w:t>
      </w:r>
    </w:p>
    <w:p w:rsidR="00350871" w:rsidRPr="00165CDE" w:rsidRDefault="00350871" w:rsidP="00D10A01">
      <w:pPr>
        <w:pStyle w:val="Paragraphedeliste"/>
        <w:numPr>
          <w:ilvl w:val="0"/>
          <w:numId w:val="34"/>
        </w:numPr>
        <w:spacing w:line="276" w:lineRule="auto"/>
        <w:jc w:val="both"/>
      </w:pPr>
      <w:r w:rsidRPr="00350871">
        <w:rPr>
          <w:bCs/>
        </w:rPr>
        <w:t xml:space="preserve">Société Nigérienne Des Produits Pétroliers (SONIDEP), </w:t>
      </w:r>
    </w:p>
    <w:p w:rsidR="00350871" w:rsidRPr="00165CDE" w:rsidRDefault="00350871" w:rsidP="00D10A01">
      <w:pPr>
        <w:pStyle w:val="Paragraphedeliste"/>
        <w:numPr>
          <w:ilvl w:val="0"/>
          <w:numId w:val="29"/>
        </w:numPr>
        <w:spacing w:line="276" w:lineRule="auto"/>
        <w:jc w:val="both"/>
      </w:pPr>
      <w:r w:rsidRPr="00165CDE">
        <w:rPr>
          <w:bCs/>
        </w:rPr>
        <w:t xml:space="preserve">Office National d'Edition et de Presse (ONEP), </w:t>
      </w:r>
    </w:p>
    <w:p w:rsidR="00350871" w:rsidRPr="00165CDE" w:rsidRDefault="00350871" w:rsidP="00D10A01">
      <w:pPr>
        <w:pStyle w:val="Paragraphedeliste"/>
        <w:numPr>
          <w:ilvl w:val="0"/>
          <w:numId w:val="29"/>
        </w:numPr>
        <w:spacing w:line="276" w:lineRule="auto"/>
        <w:jc w:val="both"/>
      </w:pPr>
      <w:r w:rsidRPr="00165CDE">
        <w:rPr>
          <w:bCs/>
        </w:rPr>
        <w:t>Centrale d'Approvisionnement en Intrants et Matériels Agricoles (CAIMA),</w:t>
      </w:r>
    </w:p>
    <w:p w:rsidR="00350871" w:rsidRPr="00165CDE" w:rsidRDefault="00350871" w:rsidP="00D10A01">
      <w:pPr>
        <w:pStyle w:val="Paragraphedeliste"/>
        <w:numPr>
          <w:ilvl w:val="0"/>
          <w:numId w:val="29"/>
        </w:numPr>
        <w:spacing w:line="276" w:lineRule="auto"/>
        <w:jc w:val="both"/>
      </w:pPr>
      <w:r w:rsidRPr="00165CDE">
        <w:rPr>
          <w:bCs/>
        </w:rPr>
        <w:t xml:space="preserve"> Ministère de l'Equipement/CAFER </w:t>
      </w:r>
    </w:p>
    <w:p w:rsidR="00350871" w:rsidRPr="00165CDE" w:rsidRDefault="00350871" w:rsidP="00D10A01">
      <w:pPr>
        <w:pStyle w:val="Paragraphedeliste"/>
        <w:numPr>
          <w:ilvl w:val="0"/>
          <w:numId w:val="29"/>
        </w:numPr>
        <w:spacing w:line="276" w:lineRule="auto"/>
        <w:jc w:val="both"/>
      </w:pPr>
      <w:r w:rsidRPr="00165CDE">
        <w:rPr>
          <w:bCs/>
        </w:rPr>
        <w:t xml:space="preserve">Cellule de Crises Alimentaire (CCA), </w:t>
      </w:r>
    </w:p>
    <w:p w:rsidR="00350871" w:rsidRPr="00165CDE" w:rsidRDefault="00350871" w:rsidP="00D10A01">
      <w:pPr>
        <w:pStyle w:val="Paragraphedeliste"/>
        <w:numPr>
          <w:ilvl w:val="0"/>
          <w:numId w:val="29"/>
        </w:numPr>
        <w:spacing w:line="276" w:lineRule="auto"/>
        <w:jc w:val="both"/>
      </w:pPr>
      <w:r w:rsidRPr="00165CDE">
        <w:rPr>
          <w:bCs/>
        </w:rPr>
        <w:t xml:space="preserve">Haut-Commissariat à l'Aménagement de la Vallée du Niger (HCAVN), </w:t>
      </w:r>
    </w:p>
    <w:p w:rsidR="00350871" w:rsidRPr="006470E9" w:rsidRDefault="00350871" w:rsidP="00D10A01">
      <w:pPr>
        <w:pStyle w:val="Paragraphedeliste"/>
        <w:numPr>
          <w:ilvl w:val="0"/>
          <w:numId w:val="29"/>
        </w:numPr>
        <w:spacing w:line="276" w:lineRule="auto"/>
        <w:jc w:val="both"/>
      </w:pPr>
      <w:r w:rsidRPr="00165CDE">
        <w:rPr>
          <w:bCs/>
        </w:rPr>
        <w:t xml:space="preserve">Cellule de Coordination Humanitaire (CCH), </w:t>
      </w:r>
    </w:p>
    <w:p w:rsidR="00350871" w:rsidRPr="00350871" w:rsidRDefault="00350871" w:rsidP="00D10A01">
      <w:pPr>
        <w:pStyle w:val="Paragraphedeliste"/>
        <w:numPr>
          <w:ilvl w:val="0"/>
          <w:numId w:val="29"/>
        </w:numPr>
        <w:spacing w:line="276" w:lineRule="auto"/>
        <w:jc w:val="both"/>
      </w:pPr>
      <w:r>
        <w:rPr>
          <w:bCs/>
        </w:rPr>
        <w:t>Ville de Niamey ;</w:t>
      </w:r>
    </w:p>
    <w:p w:rsidR="00350871" w:rsidRPr="00350871" w:rsidRDefault="00350871" w:rsidP="00D10A01">
      <w:pPr>
        <w:pStyle w:val="Paragraphedeliste"/>
        <w:numPr>
          <w:ilvl w:val="0"/>
          <w:numId w:val="29"/>
        </w:numPr>
        <w:spacing w:line="276" w:lineRule="auto"/>
        <w:jc w:val="both"/>
      </w:pPr>
      <w:r>
        <w:rPr>
          <w:bCs/>
        </w:rPr>
        <w:t>Direction Régionale de l’Hydraulique et de l’Assainissement de Tillabéri</w:t>
      </w:r>
      <w:r w:rsidR="002429C4">
        <w:rPr>
          <w:bCs/>
        </w:rPr>
        <w:t xml:space="preserve"> </w:t>
      </w:r>
      <w:r>
        <w:rPr>
          <w:bCs/>
        </w:rPr>
        <w:t>(DRHA/Ti) </w:t>
      </w:r>
    </w:p>
    <w:p w:rsidR="00350871" w:rsidRDefault="00350871" w:rsidP="006026FE">
      <w:pPr>
        <w:spacing w:line="276" w:lineRule="auto"/>
        <w:jc w:val="both"/>
      </w:pPr>
    </w:p>
    <w:p w:rsidR="004A53A7" w:rsidRDefault="004A53A7" w:rsidP="006026FE">
      <w:pPr>
        <w:spacing w:line="276" w:lineRule="auto"/>
        <w:jc w:val="both"/>
      </w:pPr>
    </w:p>
    <w:p w:rsidR="000B5368" w:rsidRDefault="00D40752" w:rsidP="006026FE">
      <w:pPr>
        <w:spacing w:line="276" w:lineRule="auto"/>
        <w:jc w:val="both"/>
        <w:rPr>
          <w:b/>
        </w:rPr>
      </w:pPr>
      <w:r>
        <w:rPr>
          <w:b/>
        </w:rPr>
        <w:t>5.1.2</w:t>
      </w:r>
      <w:r w:rsidR="004A53A7">
        <w:rPr>
          <w:b/>
        </w:rPr>
        <w:t xml:space="preserve">.2  </w:t>
      </w:r>
      <w:r w:rsidR="000B5368" w:rsidRPr="00021433">
        <w:rPr>
          <w:b/>
        </w:rPr>
        <w:t>Pertinence de l’offre de l’attributaire par rapport aux spécifications techniques</w:t>
      </w:r>
      <w:r w:rsidR="000B5368">
        <w:rPr>
          <w:b/>
        </w:rPr>
        <w:t xml:space="preserve"> (9/9)</w:t>
      </w:r>
    </w:p>
    <w:p w:rsidR="000B5368" w:rsidRDefault="00617015" w:rsidP="006026FE">
      <w:pPr>
        <w:spacing w:line="276" w:lineRule="auto"/>
        <w:jc w:val="both"/>
      </w:pPr>
      <w:r w:rsidRPr="00617015">
        <w:t>La conformité des offres des attributaires aux spécifications techniques définies dans les DAO et ou les lettres d’invit</w:t>
      </w:r>
      <w:r>
        <w:t>ation, a été respecté par toutes les</w:t>
      </w:r>
      <w:r w:rsidRPr="00617015">
        <w:t xml:space="preserve"> autorités contractantes </w:t>
      </w:r>
      <w:r>
        <w:t>du lot 2</w:t>
      </w:r>
      <w:r w:rsidR="009466DC">
        <w:t>:</w:t>
      </w:r>
    </w:p>
    <w:p w:rsidR="00350871" w:rsidRPr="00165CDE" w:rsidRDefault="00350871" w:rsidP="00D10A01">
      <w:pPr>
        <w:pStyle w:val="Paragraphedeliste"/>
        <w:numPr>
          <w:ilvl w:val="0"/>
          <w:numId w:val="34"/>
        </w:numPr>
        <w:spacing w:line="276" w:lineRule="auto"/>
        <w:jc w:val="both"/>
      </w:pPr>
      <w:r w:rsidRPr="00350871">
        <w:rPr>
          <w:bCs/>
        </w:rPr>
        <w:t xml:space="preserve">Société Nigérienne Des Produits Pétroliers (SONIDEP), </w:t>
      </w:r>
    </w:p>
    <w:p w:rsidR="00350871" w:rsidRPr="00165CDE" w:rsidRDefault="00350871" w:rsidP="00D10A01">
      <w:pPr>
        <w:pStyle w:val="Paragraphedeliste"/>
        <w:numPr>
          <w:ilvl w:val="0"/>
          <w:numId w:val="29"/>
        </w:numPr>
        <w:spacing w:line="276" w:lineRule="auto"/>
        <w:jc w:val="both"/>
      </w:pPr>
      <w:r w:rsidRPr="00165CDE">
        <w:rPr>
          <w:bCs/>
        </w:rPr>
        <w:t xml:space="preserve">Office National d'Edition et de Presse (ONEP), </w:t>
      </w:r>
    </w:p>
    <w:p w:rsidR="00350871" w:rsidRPr="00165CDE" w:rsidRDefault="00350871" w:rsidP="00D10A01">
      <w:pPr>
        <w:pStyle w:val="Paragraphedeliste"/>
        <w:numPr>
          <w:ilvl w:val="0"/>
          <w:numId w:val="29"/>
        </w:numPr>
        <w:spacing w:line="276" w:lineRule="auto"/>
        <w:jc w:val="both"/>
      </w:pPr>
      <w:r w:rsidRPr="00165CDE">
        <w:rPr>
          <w:bCs/>
        </w:rPr>
        <w:t>Centrale d'Approvisionnement en Intrants et Matériels Agricoles (CAIMA),</w:t>
      </w:r>
    </w:p>
    <w:p w:rsidR="00350871" w:rsidRPr="00165CDE" w:rsidRDefault="00350871" w:rsidP="00D10A01">
      <w:pPr>
        <w:pStyle w:val="Paragraphedeliste"/>
        <w:numPr>
          <w:ilvl w:val="0"/>
          <w:numId w:val="29"/>
        </w:numPr>
        <w:spacing w:line="276" w:lineRule="auto"/>
        <w:jc w:val="both"/>
      </w:pPr>
      <w:r w:rsidRPr="00165CDE">
        <w:rPr>
          <w:bCs/>
        </w:rPr>
        <w:t xml:space="preserve"> Ministère de l'Equipement/CAFER </w:t>
      </w:r>
    </w:p>
    <w:p w:rsidR="00350871" w:rsidRPr="00165CDE" w:rsidRDefault="00350871" w:rsidP="00D10A01">
      <w:pPr>
        <w:pStyle w:val="Paragraphedeliste"/>
        <w:numPr>
          <w:ilvl w:val="0"/>
          <w:numId w:val="29"/>
        </w:numPr>
        <w:spacing w:line="276" w:lineRule="auto"/>
        <w:jc w:val="both"/>
      </w:pPr>
      <w:r w:rsidRPr="00165CDE">
        <w:rPr>
          <w:bCs/>
        </w:rPr>
        <w:t xml:space="preserve">Cellule de Crises Alimentaire (CCA), </w:t>
      </w:r>
    </w:p>
    <w:p w:rsidR="00350871" w:rsidRPr="00165CDE" w:rsidRDefault="00350871" w:rsidP="00D10A01">
      <w:pPr>
        <w:pStyle w:val="Paragraphedeliste"/>
        <w:numPr>
          <w:ilvl w:val="0"/>
          <w:numId w:val="29"/>
        </w:numPr>
        <w:spacing w:line="276" w:lineRule="auto"/>
        <w:jc w:val="both"/>
      </w:pPr>
      <w:r w:rsidRPr="00165CDE">
        <w:rPr>
          <w:bCs/>
        </w:rPr>
        <w:t xml:space="preserve">Haut-Commissariat à l'Aménagement de la Vallée du Niger (HCAVN), </w:t>
      </w:r>
    </w:p>
    <w:p w:rsidR="00350871" w:rsidRPr="006470E9" w:rsidRDefault="00350871" w:rsidP="00D10A01">
      <w:pPr>
        <w:pStyle w:val="Paragraphedeliste"/>
        <w:numPr>
          <w:ilvl w:val="0"/>
          <w:numId w:val="29"/>
        </w:numPr>
        <w:spacing w:line="276" w:lineRule="auto"/>
        <w:jc w:val="both"/>
      </w:pPr>
      <w:r w:rsidRPr="00165CDE">
        <w:rPr>
          <w:bCs/>
        </w:rPr>
        <w:t xml:space="preserve">Cellule de Coordination Humanitaire (CCH), </w:t>
      </w:r>
    </w:p>
    <w:p w:rsidR="00350871" w:rsidRPr="00350871" w:rsidRDefault="00350871" w:rsidP="00D10A01">
      <w:pPr>
        <w:pStyle w:val="Paragraphedeliste"/>
        <w:numPr>
          <w:ilvl w:val="0"/>
          <w:numId w:val="29"/>
        </w:numPr>
        <w:spacing w:line="276" w:lineRule="auto"/>
        <w:jc w:val="both"/>
      </w:pPr>
      <w:r>
        <w:rPr>
          <w:bCs/>
        </w:rPr>
        <w:t>Ville de Niamey ;</w:t>
      </w:r>
    </w:p>
    <w:p w:rsidR="00350871" w:rsidRPr="00350871" w:rsidRDefault="00350871" w:rsidP="00D10A01">
      <w:pPr>
        <w:pStyle w:val="Paragraphedeliste"/>
        <w:numPr>
          <w:ilvl w:val="0"/>
          <w:numId w:val="29"/>
        </w:numPr>
        <w:spacing w:line="276" w:lineRule="auto"/>
        <w:jc w:val="both"/>
      </w:pPr>
      <w:r>
        <w:rPr>
          <w:bCs/>
        </w:rPr>
        <w:t>Direction Régionale de l’Hydraulique et de l’Assainissement de Tillabéri</w:t>
      </w:r>
      <w:r w:rsidR="007679FA">
        <w:rPr>
          <w:bCs/>
        </w:rPr>
        <w:t xml:space="preserve"> </w:t>
      </w:r>
      <w:r>
        <w:rPr>
          <w:bCs/>
        </w:rPr>
        <w:t>(DRHA/Ti) </w:t>
      </w:r>
    </w:p>
    <w:p w:rsidR="00350871" w:rsidRDefault="00350871" w:rsidP="006026FE">
      <w:pPr>
        <w:spacing w:line="276" w:lineRule="auto"/>
        <w:jc w:val="both"/>
      </w:pPr>
    </w:p>
    <w:p w:rsidR="000B5368" w:rsidRPr="00C63AB3" w:rsidRDefault="00D40752" w:rsidP="006026FE">
      <w:pPr>
        <w:spacing w:line="276" w:lineRule="auto"/>
        <w:jc w:val="both"/>
        <w:rPr>
          <w:b/>
        </w:rPr>
      </w:pPr>
      <w:r>
        <w:rPr>
          <w:b/>
        </w:rPr>
        <w:t>5.1.2.</w:t>
      </w:r>
      <w:r w:rsidR="004A53A7">
        <w:rPr>
          <w:b/>
        </w:rPr>
        <w:t xml:space="preserve">3 </w:t>
      </w:r>
      <w:r w:rsidR="000B5368" w:rsidRPr="00C63AB3">
        <w:rPr>
          <w:b/>
        </w:rPr>
        <w:t>Acquisition des biens et services à des conditions économiques avantageuses </w:t>
      </w:r>
    </w:p>
    <w:p w:rsidR="000B5368" w:rsidRDefault="00D40752" w:rsidP="006026FE">
      <w:pPr>
        <w:spacing w:line="276" w:lineRule="auto"/>
        <w:jc w:val="both"/>
        <w:rPr>
          <w:b/>
        </w:rPr>
      </w:pPr>
      <w:r>
        <w:rPr>
          <w:b/>
        </w:rPr>
        <w:t>5.1.2</w:t>
      </w:r>
      <w:r w:rsidR="004A53A7">
        <w:rPr>
          <w:b/>
        </w:rPr>
        <w:t xml:space="preserve">.3.1 </w:t>
      </w:r>
      <w:r w:rsidR="000B5368" w:rsidRPr="00C63AB3">
        <w:rPr>
          <w:b/>
        </w:rPr>
        <w:t xml:space="preserve"> Respect des conditions de mise en concurrence</w:t>
      </w:r>
      <w:r w:rsidR="006E06F3">
        <w:rPr>
          <w:b/>
        </w:rPr>
        <w:tab/>
      </w:r>
      <w:r w:rsidR="006E06F3">
        <w:rPr>
          <w:b/>
        </w:rPr>
        <w:tab/>
      </w:r>
      <w:r w:rsidR="006E06F3">
        <w:rPr>
          <w:b/>
        </w:rPr>
        <w:tab/>
      </w:r>
      <w:r w:rsidR="006E06F3">
        <w:rPr>
          <w:b/>
        </w:rPr>
        <w:tab/>
      </w:r>
      <w:r w:rsidR="00942780">
        <w:rPr>
          <w:b/>
        </w:rPr>
        <w:t>(3</w:t>
      </w:r>
      <w:r w:rsidR="000B5368">
        <w:rPr>
          <w:b/>
        </w:rPr>
        <w:t>/9)</w:t>
      </w:r>
    </w:p>
    <w:p w:rsidR="009466DC" w:rsidRDefault="005753F5" w:rsidP="006026FE">
      <w:pPr>
        <w:spacing w:line="276" w:lineRule="auto"/>
        <w:jc w:val="both"/>
      </w:pPr>
      <w:r>
        <w:t>L’appel d’offres ouvert constitue le mode normal de passation de</w:t>
      </w:r>
      <w:r w:rsidR="005A62A4">
        <w:t>s</w:t>
      </w:r>
      <w:r>
        <w:t xml:space="preserve"> marché</w:t>
      </w:r>
      <w:r w:rsidR="005A62A4">
        <w:t xml:space="preserve">s publics. Deux Autorités Contractantes ont utilisé conformément à la norme UEMOA le recours aux appels d’offres ouvert nationaux : </w:t>
      </w:r>
    </w:p>
    <w:p w:rsidR="009466DC" w:rsidRDefault="000B5368" w:rsidP="00D10A01">
      <w:pPr>
        <w:pStyle w:val="Paragraphedeliste"/>
        <w:numPr>
          <w:ilvl w:val="0"/>
          <w:numId w:val="36"/>
        </w:numPr>
        <w:spacing w:line="276" w:lineRule="auto"/>
        <w:jc w:val="both"/>
      </w:pPr>
      <w:r>
        <w:lastRenderedPageBreak/>
        <w:t xml:space="preserve">Ministère de l’Equipement/CAFER </w:t>
      </w:r>
    </w:p>
    <w:p w:rsidR="000B5368" w:rsidRDefault="000B5368" w:rsidP="00D10A01">
      <w:pPr>
        <w:pStyle w:val="Paragraphedeliste"/>
        <w:numPr>
          <w:ilvl w:val="0"/>
          <w:numId w:val="36"/>
        </w:numPr>
        <w:spacing w:line="276" w:lineRule="auto"/>
        <w:jc w:val="both"/>
      </w:pPr>
      <w:r>
        <w:t>Direction Régionale de l’Hydraulique et de l’Assainissement de Tillabéri (DRHA/Ti).</w:t>
      </w:r>
    </w:p>
    <w:p w:rsidR="00217CA6" w:rsidRPr="00165CDE" w:rsidRDefault="00217CA6" w:rsidP="00217CA6">
      <w:pPr>
        <w:pStyle w:val="Paragraphedeliste"/>
        <w:numPr>
          <w:ilvl w:val="0"/>
          <w:numId w:val="36"/>
        </w:numPr>
        <w:spacing w:line="276" w:lineRule="auto"/>
        <w:jc w:val="both"/>
      </w:pPr>
      <w:r w:rsidRPr="00165CDE">
        <w:rPr>
          <w:bCs/>
        </w:rPr>
        <w:t xml:space="preserve">Cellule de Crises Alimentaire (CCA), </w:t>
      </w:r>
    </w:p>
    <w:p w:rsidR="00217CA6" w:rsidRPr="00165CDE" w:rsidRDefault="00217CA6" w:rsidP="00942780">
      <w:pPr>
        <w:pStyle w:val="Paragraphedeliste"/>
        <w:spacing w:line="276" w:lineRule="auto"/>
        <w:jc w:val="both"/>
      </w:pPr>
    </w:p>
    <w:p w:rsidR="00A3400A" w:rsidRDefault="00A3400A" w:rsidP="00A3400A">
      <w:pPr>
        <w:pStyle w:val="Paragraphedeliste"/>
        <w:spacing w:line="276" w:lineRule="auto"/>
        <w:jc w:val="both"/>
      </w:pPr>
    </w:p>
    <w:p w:rsidR="00D40752" w:rsidRDefault="00D40752" w:rsidP="00D40752">
      <w:pPr>
        <w:spacing w:line="276" w:lineRule="auto"/>
        <w:ind w:left="360"/>
        <w:jc w:val="both"/>
      </w:pPr>
    </w:p>
    <w:p w:rsidR="000B5368" w:rsidRDefault="00D40752" w:rsidP="006026FE">
      <w:pPr>
        <w:spacing w:line="276" w:lineRule="auto"/>
        <w:jc w:val="both"/>
        <w:rPr>
          <w:b/>
        </w:rPr>
      </w:pPr>
      <w:r>
        <w:rPr>
          <w:b/>
        </w:rPr>
        <w:t>5.1.2</w:t>
      </w:r>
      <w:r w:rsidR="004A53A7" w:rsidRPr="004A53A7">
        <w:rPr>
          <w:b/>
        </w:rPr>
        <w:t>.3.2</w:t>
      </w:r>
      <w:r w:rsidR="000B5368" w:rsidRPr="00E46FC9">
        <w:rPr>
          <w:b/>
        </w:rPr>
        <w:t xml:space="preserve"> Respect des délais de publication des avis d’appel d’offres</w:t>
      </w:r>
      <w:r w:rsidR="006E06F3">
        <w:rPr>
          <w:b/>
        </w:rPr>
        <w:tab/>
      </w:r>
      <w:r w:rsidR="006E06F3">
        <w:rPr>
          <w:b/>
        </w:rPr>
        <w:tab/>
      </w:r>
      <w:r w:rsidR="006E06F3">
        <w:rPr>
          <w:b/>
        </w:rPr>
        <w:tab/>
      </w:r>
      <w:r w:rsidR="000B5368">
        <w:rPr>
          <w:b/>
        </w:rPr>
        <w:t xml:space="preserve"> (8/9)</w:t>
      </w:r>
    </w:p>
    <w:p w:rsidR="00D40752" w:rsidRPr="00D40752" w:rsidRDefault="00D40752" w:rsidP="00D40752">
      <w:pPr>
        <w:spacing w:line="276" w:lineRule="auto"/>
        <w:jc w:val="both"/>
      </w:pPr>
      <w:r w:rsidRPr="00D40752">
        <w:t>Les articles 3, 4, 5 et 6 de l’arrêté n°0034/CAB/PM/ARMP du 21 Janvier 2014 fixe les délais de publication des avis d’appel d’offres dans le cadre de la passation des marchés publics et des délégations de service public.</w:t>
      </w:r>
    </w:p>
    <w:p w:rsidR="00D40752" w:rsidRDefault="00D40752" w:rsidP="009466DC">
      <w:pPr>
        <w:spacing w:line="276" w:lineRule="auto"/>
        <w:jc w:val="both"/>
      </w:pPr>
      <w:r w:rsidRPr="00D40752">
        <w:t xml:space="preserve">La revue des délais de publication des avis d’appel d’offres a relevé que les délais ont été respectés au niveau de </w:t>
      </w:r>
      <w:r>
        <w:t>huit (8)</w:t>
      </w:r>
      <w:r w:rsidRPr="00D40752">
        <w:t xml:space="preserve"> autorités contractantes</w:t>
      </w:r>
      <w:r>
        <w:t> :</w:t>
      </w:r>
    </w:p>
    <w:p w:rsidR="009466DC" w:rsidRPr="00165CDE" w:rsidRDefault="009466DC" w:rsidP="00D10A01">
      <w:pPr>
        <w:pStyle w:val="Paragraphedeliste"/>
        <w:numPr>
          <w:ilvl w:val="0"/>
          <w:numId w:val="37"/>
        </w:numPr>
        <w:spacing w:line="276" w:lineRule="auto"/>
        <w:jc w:val="both"/>
      </w:pPr>
      <w:r w:rsidRPr="009466DC">
        <w:rPr>
          <w:bCs/>
        </w:rPr>
        <w:t xml:space="preserve">Office National d'Edition et de Presse (ONEP), </w:t>
      </w:r>
    </w:p>
    <w:p w:rsidR="009466DC" w:rsidRPr="00165CDE" w:rsidRDefault="009466DC" w:rsidP="00D10A01">
      <w:pPr>
        <w:pStyle w:val="Paragraphedeliste"/>
        <w:numPr>
          <w:ilvl w:val="0"/>
          <w:numId w:val="29"/>
        </w:numPr>
        <w:spacing w:line="276" w:lineRule="auto"/>
        <w:jc w:val="both"/>
      </w:pPr>
      <w:r w:rsidRPr="00165CDE">
        <w:rPr>
          <w:bCs/>
        </w:rPr>
        <w:t>Centrale d'Approvisionnement en Intrants et Matériels Agricoles (CAIMA),</w:t>
      </w:r>
    </w:p>
    <w:p w:rsidR="009466DC" w:rsidRPr="00165CDE" w:rsidRDefault="009466DC" w:rsidP="00D10A01">
      <w:pPr>
        <w:pStyle w:val="Paragraphedeliste"/>
        <w:numPr>
          <w:ilvl w:val="0"/>
          <w:numId w:val="29"/>
        </w:numPr>
        <w:spacing w:line="276" w:lineRule="auto"/>
        <w:jc w:val="both"/>
      </w:pPr>
      <w:r w:rsidRPr="00165CDE">
        <w:rPr>
          <w:bCs/>
        </w:rPr>
        <w:t xml:space="preserve"> Ministère de l'Equipement/CAFER </w:t>
      </w:r>
    </w:p>
    <w:p w:rsidR="009466DC" w:rsidRPr="00165CDE" w:rsidRDefault="009466DC" w:rsidP="00D10A01">
      <w:pPr>
        <w:pStyle w:val="Paragraphedeliste"/>
        <w:numPr>
          <w:ilvl w:val="0"/>
          <w:numId w:val="29"/>
        </w:numPr>
        <w:spacing w:line="276" w:lineRule="auto"/>
        <w:jc w:val="both"/>
      </w:pPr>
      <w:r w:rsidRPr="00165CDE">
        <w:rPr>
          <w:bCs/>
        </w:rPr>
        <w:t xml:space="preserve">Cellule de Crises Alimentaire (CCA), </w:t>
      </w:r>
    </w:p>
    <w:p w:rsidR="009466DC" w:rsidRPr="00165CDE" w:rsidRDefault="009466DC" w:rsidP="00D10A01">
      <w:pPr>
        <w:pStyle w:val="Paragraphedeliste"/>
        <w:numPr>
          <w:ilvl w:val="0"/>
          <w:numId w:val="29"/>
        </w:numPr>
        <w:spacing w:line="276" w:lineRule="auto"/>
        <w:jc w:val="both"/>
      </w:pPr>
      <w:r w:rsidRPr="00165CDE">
        <w:rPr>
          <w:bCs/>
        </w:rPr>
        <w:t xml:space="preserve">Haut-Commissariat à l'Aménagement de la Vallée du Niger (HCAVN), </w:t>
      </w:r>
    </w:p>
    <w:p w:rsidR="009466DC" w:rsidRPr="006470E9" w:rsidRDefault="009466DC" w:rsidP="00D10A01">
      <w:pPr>
        <w:pStyle w:val="Paragraphedeliste"/>
        <w:numPr>
          <w:ilvl w:val="0"/>
          <w:numId w:val="29"/>
        </w:numPr>
        <w:spacing w:line="276" w:lineRule="auto"/>
        <w:jc w:val="both"/>
      </w:pPr>
      <w:r w:rsidRPr="00165CDE">
        <w:rPr>
          <w:bCs/>
        </w:rPr>
        <w:t xml:space="preserve">Cellule de Coordination Humanitaire (CCH), </w:t>
      </w:r>
    </w:p>
    <w:p w:rsidR="009466DC" w:rsidRPr="00350871" w:rsidRDefault="009466DC" w:rsidP="00D10A01">
      <w:pPr>
        <w:pStyle w:val="Paragraphedeliste"/>
        <w:numPr>
          <w:ilvl w:val="0"/>
          <w:numId w:val="29"/>
        </w:numPr>
        <w:spacing w:line="276" w:lineRule="auto"/>
        <w:jc w:val="both"/>
      </w:pPr>
      <w:r>
        <w:rPr>
          <w:bCs/>
        </w:rPr>
        <w:t>Ville de Niamey ;</w:t>
      </w:r>
    </w:p>
    <w:p w:rsidR="004A53A7" w:rsidRPr="009466DC" w:rsidRDefault="009466DC" w:rsidP="00D10A01">
      <w:pPr>
        <w:pStyle w:val="Paragraphedeliste"/>
        <w:numPr>
          <w:ilvl w:val="0"/>
          <w:numId w:val="29"/>
        </w:numPr>
        <w:spacing w:line="276" w:lineRule="auto"/>
        <w:jc w:val="both"/>
        <w:rPr>
          <w:b/>
        </w:rPr>
      </w:pPr>
      <w:r w:rsidRPr="009466DC">
        <w:rPr>
          <w:bCs/>
        </w:rPr>
        <w:t>Direction Régionale de l’Hydraulique et de l’Assainissement de Tillabéri (DRHA/Ti</w:t>
      </w:r>
    </w:p>
    <w:p w:rsidR="009466DC" w:rsidRDefault="009466DC" w:rsidP="006026FE">
      <w:pPr>
        <w:spacing w:line="276" w:lineRule="auto"/>
        <w:jc w:val="both"/>
        <w:rPr>
          <w:b/>
        </w:rPr>
      </w:pPr>
    </w:p>
    <w:p w:rsidR="000B5368" w:rsidRDefault="00D40752" w:rsidP="006026FE">
      <w:pPr>
        <w:spacing w:line="276" w:lineRule="auto"/>
        <w:jc w:val="both"/>
        <w:rPr>
          <w:b/>
        </w:rPr>
      </w:pPr>
      <w:r>
        <w:rPr>
          <w:b/>
        </w:rPr>
        <w:t>5.1.2</w:t>
      </w:r>
      <w:r w:rsidR="004A53A7">
        <w:rPr>
          <w:b/>
        </w:rPr>
        <w:t xml:space="preserve">.3.3 </w:t>
      </w:r>
      <w:r w:rsidR="000B5368">
        <w:rPr>
          <w:b/>
        </w:rPr>
        <w:t xml:space="preserve"> Respect des d</w:t>
      </w:r>
      <w:r w:rsidR="000B5368" w:rsidRPr="00DD4B6D">
        <w:rPr>
          <w:b/>
        </w:rPr>
        <w:t>élais de dépôt des offres</w:t>
      </w:r>
      <w:r w:rsidR="006E06F3">
        <w:rPr>
          <w:b/>
        </w:rPr>
        <w:tab/>
      </w:r>
      <w:r w:rsidR="006E06F3">
        <w:rPr>
          <w:b/>
        </w:rPr>
        <w:tab/>
      </w:r>
      <w:r w:rsidR="006E06F3">
        <w:rPr>
          <w:b/>
        </w:rPr>
        <w:tab/>
      </w:r>
      <w:r w:rsidR="006E06F3">
        <w:rPr>
          <w:b/>
        </w:rPr>
        <w:tab/>
      </w:r>
      <w:r w:rsidR="006E06F3">
        <w:rPr>
          <w:b/>
        </w:rPr>
        <w:tab/>
      </w:r>
      <w:r w:rsidR="000B5368">
        <w:rPr>
          <w:b/>
        </w:rPr>
        <w:t>(9/9)</w:t>
      </w:r>
    </w:p>
    <w:p w:rsidR="009466DC" w:rsidRDefault="000B5368" w:rsidP="006026FE">
      <w:pPr>
        <w:spacing w:line="276" w:lineRule="auto"/>
        <w:jc w:val="both"/>
      </w:pPr>
      <w:r w:rsidRPr="00DD4B6D">
        <w:t>Les délais des dépôts des offres des candidats  ont été respectés par l’ensemble des neuf Autorit</w:t>
      </w:r>
      <w:r w:rsidR="009466DC">
        <w:t>és Contractante du lot 2 :</w:t>
      </w:r>
    </w:p>
    <w:p w:rsidR="009466DC" w:rsidRPr="00165CDE" w:rsidRDefault="009466DC" w:rsidP="00D10A01">
      <w:pPr>
        <w:pStyle w:val="Paragraphedeliste"/>
        <w:numPr>
          <w:ilvl w:val="0"/>
          <w:numId w:val="34"/>
        </w:numPr>
        <w:spacing w:line="276" w:lineRule="auto"/>
        <w:jc w:val="both"/>
      </w:pPr>
      <w:r w:rsidRPr="00350871">
        <w:rPr>
          <w:bCs/>
        </w:rPr>
        <w:t xml:space="preserve">Société Nigérienne Des Produits Pétroliers (SONIDEP), </w:t>
      </w:r>
    </w:p>
    <w:p w:rsidR="009466DC" w:rsidRPr="00165CDE" w:rsidRDefault="009466DC" w:rsidP="00D10A01">
      <w:pPr>
        <w:pStyle w:val="Paragraphedeliste"/>
        <w:numPr>
          <w:ilvl w:val="0"/>
          <w:numId w:val="29"/>
        </w:numPr>
        <w:spacing w:line="276" w:lineRule="auto"/>
        <w:jc w:val="both"/>
      </w:pPr>
      <w:r w:rsidRPr="00165CDE">
        <w:rPr>
          <w:bCs/>
        </w:rPr>
        <w:t xml:space="preserve">Office National d'Edition et de Presse (ONEP), </w:t>
      </w:r>
    </w:p>
    <w:p w:rsidR="009466DC" w:rsidRPr="00165CDE" w:rsidRDefault="009466DC" w:rsidP="00D10A01">
      <w:pPr>
        <w:pStyle w:val="Paragraphedeliste"/>
        <w:numPr>
          <w:ilvl w:val="0"/>
          <w:numId w:val="29"/>
        </w:numPr>
        <w:spacing w:line="276" w:lineRule="auto"/>
        <w:jc w:val="both"/>
      </w:pPr>
      <w:r w:rsidRPr="00165CDE">
        <w:rPr>
          <w:bCs/>
        </w:rPr>
        <w:t>Centrale d'Approvisionnement en Intrants et Matériels Agricoles (CAIMA),</w:t>
      </w:r>
    </w:p>
    <w:p w:rsidR="009466DC" w:rsidRPr="00165CDE" w:rsidRDefault="009466DC" w:rsidP="00D10A01">
      <w:pPr>
        <w:pStyle w:val="Paragraphedeliste"/>
        <w:numPr>
          <w:ilvl w:val="0"/>
          <w:numId w:val="29"/>
        </w:numPr>
        <w:spacing w:line="276" w:lineRule="auto"/>
        <w:jc w:val="both"/>
      </w:pPr>
      <w:r w:rsidRPr="00165CDE">
        <w:rPr>
          <w:bCs/>
        </w:rPr>
        <w:t xml:space="preserve"> Ministère de l'Equipement/CAFER </w:t>
      </w:r>
    </w:p>
    <w:p w:rsidR="009466DC" w:rsidRPr="00165CDE" w:rsidRDefault="009466DC" w:rsidP="00D10A01">
      <w:pPr>
        <w:pStyle w:val="Paragraphedeliste"/>
        <w:numPr>
          <w:ilvl w:val="0"/>
          <w:numId w:val="29"/>
        </w:numPr>
        <w:spacing w:line="276" w:lineRule="auto"/>
        <w:jc w:val="both"/>
      </w:pPr>
      <w:r w:rsidRPr="00165CDE">
        <w:rPr>
          <w:bCs/>
        </w:rPr>
        <w:t xml:space="preserve">Cellule de Crises Alimentaire (CCA), </w:t>
      </w:r>
    </w:p>
    <w:p w:rsidR="009466DC" w:rsidRPr="00165CDE" w:rsidRDefault="009466DC" w:rsidP="00D10A01">
      <w:pPr>
        <w:pStyle w:val="Paragraphedeliste"/>
        <w:numPr>
          <w:ilvl w:val="0"/>
          <w:numId w:val="29"/>
        </w:numPr>
        <w:spacing w:line="276" w:lineRule="auto"/>
        <w:jc w:val="both"/>
      </w:pPr>
      <w:r w:rsidRPr="00165CDE">
        <w:rPr>
          <w:bCs/>
        </w:rPr>
        <w:t xml:space="preserve">Haut-Commissariat à l'Aménagement de la Vallée du Niger (HCAVN), </w:t>
      </w:r>
    </w:p>
    <w:p w:rsidR="009466DC" w:rsidRPr="006470E9" w:rsidRDefault="009466DC" w:rsidP="00D10A01">
      <w:pPr>
        <w:pStyle w:val="Paragraphedeliste"/>
        <w:numPr>
          <w:ilvl w:val="0"/>
          <w:numId w:val="29"/>
        </w:numPr>
        <w:spacing w:line="276" w:lineRule="auto"/>
        <w:jc w:val="both"/>
      </w:pPr>
      <w:r w:rsidRPr="00165CDE">
        <w:rPr>
          <w:bCs/>
        </w:rPr>
        <w:t xml:space="preserve">Cellule de Coordination Humanitaire (CCH), </w:t>
      </w:r>
    </w:p>
    <w:p w:rsidR="009466DC" w:rsidRPr="00350871" w:rsidRDefault="009466DC" w:rsidP="00D10A01">
      <w:pPr>
        <w:pStyle w:val="Paragraphedeliste"/>
        <w:numPr>
          <w:ilvl w:val="0"/>
          <w:numId w:val="29"/>
        </w:numPr>
        <w:spacing w:line="276" w:lineRule="auto"/>
        <w:jc w:val="both"/>
      </w:pPr>
      <w:r>
        <w:rPr>
          <w:bCs/>
        </w:rPr>
        <w:t>Ville de Niamey ;</w:t>
      </w:r>
    </w:p>
    <w:p w:rsidR="009466DC" w:rsidRPr="00350871" w:rsidRDefault="009466DC" w:rsidP="00D10A01">
      <w:pPr>
        <w:pStyle w:val="Paragraphedeliste"/>
        <w:numPr>
          <w:ilvl w:val="0"/>
          <w:numId w:val="29"/>
        </w:numPr>
        <w:spacing w:line="276" w:lineRule="auto"/>
        <w:jc w:val="both"/>
      </w:pPr>
      <w:r>
        <w:rPr>
          <w:bCs/>
        </w:rPr>
        <w:t>Direction Régionale de l’Hydraulique et de l’Assainissement de Tillabéri(DRHA/Ti) </w:t>
      </w:r>
    </w:p>
    <w:p w:rsidR="009466DC" w:rsidRDefault="009466DC" w:rsidP="009466DC">
      <w:pPr>
        <w:spacing w:line="276" w:lineRule="auto"/>
        <w:jc w:val="both"/>
      </w:pPr>
    </w:p>
    <w:p w:rsidR="000B5368" w:rsidRDefault="00D40752" w:rsidP="006026FE">
      <w:pPr>
        <w:spacing w:line="276" w:lineRule="auto"/>
        <w:jc w:val="both"/>
        <w:rPr>
          <w:b/>
        </w:rPr>
      </w:pPr>
      <w:r>
        <w:rPr>
          <w:b/>
        </w:rPr>
        <w:t>5.1.2</w:t>
      </w:r>
      <w:r w:rsidR="004A53A7" w:rsidRPr="004A53A7">
        <w:rPr>
          <w:b/>
        </w:rPr>
        <w:t>.4</w:t>
      </w:r>
      <w:r w:rsidR="004F23B7">
        <w:rPr>
          <w:b/>
        </w:rPr>
        <w:t xml:space="preserve"> </w:t>
      </w:r>
      <w:r w:rsidR="000B5368" w:rsidRPr="00BD595B">
        <w:rPr>
          <w:b/>
        </w:rPr>
        <w:t>Respect des modes de passation prévu dans le plan de passation</w:t>
      </w:r>
      <w:r w:rsidR="005A62A4">
        <w:rPr>
          <w:b/>
        </w:rPr>
        <w:tab/>
      </w:r>
      <w:r w:rsidR="005A62A4">
        <w:rPr>
          <w:b/>
        </w:rPr>
        <w:tab/>
      </w:r>
      <w:r w:rsidR="000B5368">
        <w:rPr>
          <w:b/>
        </w:rPr>
        <w:t>(5/9)</w:t>
      </w:r>
    </w:p>
    <w:p w:rsidR="00D40752" w:rsidRPr="00D40752" w:rsidRDefault="00D40752" w:rsidP="00D40752">
      <w:pPr>
        <w:spacing w:line="276" w:lineRule="auto"/>
        <w:jc w:val="both"/>
        <w:rPr>
          <w:i/>
        </w:rPr>
      </w:pPr>
      <w:r w:rsidRPr="00D40752">
        <w:rPr>
          <w:bCs/>
          <w:i/>
        </w:rPr>
        <w:t>L’article 27</w:t>
      </w:r>
      <w:r w:rsidRPr="00D40752">
        <w:rPr>
          <w:i/>
        </w:rPr>
        <w:t xml:space="preserve"> du décret n°2013-569/PRN/PM du 20 décembre 2013 portant code des marchés et des délégations de service public stipule que : « l'autorité contractante élabore un plan prévisionnel annuel de passation des marchés publics sur la base de son programme d'activités et .selon un modèle défini par l'entité administrative chargée du contrôle a priori.</w:t>
      </w:r>
    </w:p>
    <w:p w:rsidR="00D40752" w:rsidRPr="00D40752" w:rsidRDefault="00D40752" w:rsidP="00D40752">
      <w:pPr>
        <w:spacing w:line="276" w:lineRule="auto"/>
        <w:jc w:val="both"/>
        <w:rPr>
          <w:i/>
        </w:rPr>
      </w:pPr>
      <w:r w:rsidRPr="00D40752">
        <w:rPr>
          <w:i/>
        </w:rPr>
        <w:lastRenderedPageBreak/>
        <w:t>Le plan prévisionnel annuel doit être cohérent avec les crédits alloués et être approuvé par l'entité administrative chargée du contrôle a priori qui en assure la publication; il est révisable.</w:t>
      </w:r>
    </w:p>
    <w:p w:rsidR="00D40752" w:rsidRPr="00D40752" w:rsidRDefault="00D40752" w:rsidP="00D40752">
      <w:pPr>
        <w:spacing w:line="276" w:lineRule="auto"/>
        <w:jc w:val="both"/>
        <w:rPr>
          <w:i/>
        </w:rPr>
      </w:pPr>
      <w:r w:rsidRPr="00D40752">
        <w:rPr>
          <w:i/>
        </w:rPr>
        <w:t>Dans le cadre de l'exercice de ses attributions, l'entité administrative chargée du contrôle a priori doit s'assurer de la conformité des projets de marchés qui lui sont soumis suivant un plan prévisionnel annuel de passation de marchés publics.</w:t>
      </w:r>
    </w:p>
    <w:p w:rsidR="00D40752" w:rsidRPr="00D40752" w:rsidRDefault="00D40752" w:rsidP="00D40752">
      <w:pPr>
        <w:spacing w:line="276" w:lineRule="auto"/>
        <w:jc w:val="both"/>
        <w:rPr>
          <w:i/>
        </w:rPr>
      </w:pPr>
      <w:r w:rsidRPr="00D40752">
        <w:rPr>
          <w:i/>
        </w:rPr>
        <w:t>Sous peine de nullité, les marchés passés par l'autorité contractante doivent avoir été préalablement inscrits dans ce plan prévisionnel annuel.</w:t>
      </w:r>
    </w:p>
    <w:p w:rsidR="00D40752" w:rsidRPr="00D40752" w:rsidRDefault="00D40752" w:rsidP="00D40752">
      <w:pPr>
        <w:spacing w:line="276" w:lineRule="auto"/>
        <w:jc w:val="both"/>
        <w:rPr>
          <w:i/>
        </w:rPr>
      </w:pPr>
      <w:r w:rsidRPr="00D40752">
        <w:rPr>
          <w:i/>
        </w:rPr>
        <w:t>Tout fractionnement de commandes publiques fait en violation du plan annuel de passation des marchés publics est constitutif d'une infraction punie conformément au présent code ».</w:t>
      </w:r>
    </w:p>
    <w:p w:rsidR="00D40752" w:rsidRDefault="00D40752" w:rsidP="006026FE">
      <w:pPr>
        <w:spacing w:line="276" w:lineRule="auto"/>
        <w:jc w:val="both"/>
        <w:rPr>
          <w:i/>
        </w:rPr>
      </w:pPr>
    </w:p>
    <w:p w:rsidR="00D40752" w:rsidRPr="00D40752" w:rsidRDefault="00D40752" w:rsidP="006026FE">
      <w:pPr>
        <w:spacing w:line="276" w:lineRule="auto"/>
        <w:jc w:val="both"/>
      </w:pPr>
      <w:r w:rsidRPr="00D40752">
        <w:t>La revue des dossiers de passation des marchés  de notre échantillon a révélé q</w:t>
      </w:r>
      <w:r>
        <w:t>ue les modes de passation prévus</w:t>
      </w:r>
      <w:r w:rsidRPr="00D40752">
        <w:t xml:space="preserve"> dans les plans prévisionnels de passation ont été respectés par </w:t>
      </w:r>
      <w:r>
        <w:t>cinq (05</w:t>
      </w:r>
      <w:r w:rsidRPr="00D40752">
        <w:t>) autorité contractantes :</w:t>
      </w:r>
    </w:p>
    <w:p w:rsidR="009466DC" w:rsidRPr="00165CDE" w:rsidRDefault="009466DC" w:rsidP="00D10A01">
      <w:pPr>
        <w:pStyle w:val="Paragraphedeliste"/>
        <w:numPr>
          <w:ilvl w:val="0"/>
          <w:numId w:val="38"/>
        </w:numPr>
        <w:spacing w:line="276" w:lineRule="auto"/>
        <w:jc w:val="both"/>
      </w:pPr>
      <w:r w:rsidRPr="009466DC">
        <w:rPr>
          <w:bCs/>
        </w:rPr>
        <w:t xml:space="preserve">Office National d'Edition et de Presse (ONEP), </w:t>
      </w:r>
    </w:p>
    <w:p w:rsidR="009466DC" w:rsidRPr="00165CDE" w:rsidRDefault="009466DC" w:rsidP="00D10A01">
      <w:pPr>
        <w:pStyle w:val="Paragraphedeliste"/>
        <w:numPr>
          <w:ilvl w:val="0"/>
          <w:numId w:val="29"/>
        </w:numPr>
        <w:spacing w:line="276" w:lineRule="auto"/>
        <w:jc w:val="both"/>
      </w:pPr>
      <w:r w:rsidRPr="00165CDE">
        <w:rPr>
          <w:bCs/>
        </w:rPr>
        <w:t>Centrale d'Approvisionnement en Intrants et Matériels Agricoles (CAIMA),</w:t>
      </w:r>
    </w:p>
    <w:p w:rsidR="009466DC" w:rsidRDefault="009466DC" w:rsidP="00D10A01">
      <w:pPr>
        <w:pStyle w:val="Paragraphedeliste"/>
        <w:numPr>
          <w:ilvl w:val="0"/>
          <w:numId w:val="29"/>
        </w:numPr>
      </w:pPr>
      <w:r w:rsidRPr="009466DC">
        <w:rPr>
          <w:bCs/>
        </w:rPr>
        <w:t xml:space="preserve">Ministère de l'Equipement/CAFER </w:t>
      </w:r>
    </w:p>
    <w:p w:rsidR="009466DC" w:rsidRPr="00165CDE" w:rsidRDefault="009466DC" w:rsidP="00D10A01">
      <w:pPr>
        <w:pStyle w:val="Paragraphedeliste"/>
        <w:numPr>
          <w:ilvl w:val="0"/>
          <w:numId w:val="29"/>
        </w:numPr>
        <w:spacing w:line="276" w:lineRule="auto"/>
        <w:jc w:val="both"/>
      </w:pPr>
      <w:r w:rsidRPr="00165CDE">
        <w:rPr>
          <w:bCs/>
        </w:rPr>
        <w:t xml:space="preserve">Haut-Commissariat à l'Aménagement de la Vallée du Niger (HCAVN), </w:t>
      </w:r>
    </w:p>
    <w:p w:rsidR="009466DC" w:rsidRPr="00350871" w:rsidRDefault="009466DC" w:rsidP="00D10A01">
      <w:pPr>
        <w:pStyle w:val="Paragraphedeliste"/>
        <w:numPr>
          <w:ilvl w:val="0"/>
          <w:numId w:val="29"/>
        </w:numPr>
        <w:spacing w:line="276" w:lineRule="auto"/>
        <w:jc w:val="both"/>
      </w:pPr>
      <w:r>
        <w:rPr>
          <w:bCs/>
        </w:rPr>
        <w:t>Direction Régionale de l’Hydraulique et de l’Assainissement de Tillabéri</w:t>
      </w:r>
      <w:r w:rsidR="002429C4">
        <w:rPr>
          <w:bCs/>
        </w:rPr>
        <w:t xml:space="preserve"> </w:t>
      </w:r>
      <w:r>
        <w:rPr>
          <w:bCs/>
        </w:rPr>
        <w:t>(DRHA/Ti) </w:t>
      </w:r>
    </w:p>
    <w:p w:rsidR="009466DC" w:rsidRDefault="009466DC" w:rsidP="006026FE">
      <w:pPr>
        <w:spacing w:line="276" w:lineRule="auto"/>
        <w:jc w:val="both"/>
        <w:rPr>
          <w:b/>
        </w:rPr>
      </w:pPr>
    </w:p>
    <w:p w:rsidR="000B5368" w:rsidRDefault="00D40752" w:rsidP="006026FE">
      <w:pPr>
        <w:spacing w:line="276" w:lineRule="auto"/>
        <w:jc w:val="both"/>
        <w:rPr>
          <w:b/>
          <w:color w:val="000000"/>
        </w:rPr>
      </w:pPr>
      <w:r>
        <w:rPr>
          <w:b/>
        </w:rPr>
        <w:t xml:space="preserve"> 5.1.2.5</w:t>
      </w:r>
      <w:r w:rsidR="004F23B7">
        <w:rPr>
          <w:b/>
        </w:rPr>
        <w:t xml:space="preserve"> </w:t>
      </w:r>
      <w:r w:rsidR="000B5368" w:rsidRPr="00BD595B">
        <w:rPr>
          <w:b/>
          <w:color w:val="000000"/>
        </w:rPr>
        <w:t>Respect des délais dans le cadre de</w:t>
      </w:r>
      <w:r w:rsidR="005A62A4">
        <w:rPr>
          <w:b/>
          <w:color w:val="000000"/>
        </w:rPr>
        <w:t xml:space="preserve"> la</w:t>
      </w:r>
      <w:r w:rsidR="000B5368" w:rsidRPr="00BD595B">
        <w:rPr>
          <w:b/>
          <w:color w:val="000000"/>
        </w:rPr>
        <w:t xml:space="preserve"> passation des marchés</w:t>
      </w:r>
      <w:r w:rsidR="005A62A4">
        <w:rPr>
          <w:b/>
          <w:color w:val="000000"/>
        </w:rPr>
        <w:tab/>
      </w:r>
      <w:r w:rsidR="005A62A4">
        <w:rPr>
          <w:b/>
          <w:color w:val="000000"/>
        </w:rPr>
        <w:tab/>
      </w:r>
      <w:r w:rsidR="004F23B7">
        <w:rPr>
          <w:b/>
          <w:color w:val="000000"/>
        </w:rPr>
        <w:t xml:space="preserve">             </w:t>
      </w:r>
      <w:r w:rsidR="000B5368">
        <w:rPr>
          <w:b/>
          <w:color w:val="000000"/>
        </w:rPr>
        <w:t>(1/9)</w:t>
      </w:r>
    </w:p>
    <w:p w:rsidR="000B5368" w:rsidRDefault="000B5368" w:rsidP="006026FE">
      <w:pPr>
        <w:spacing w:line="276" w:lineRule="auto"/>
        <w:jc w:val="both"/>
        <w:rPr>
          <w:color w:val="000000"/>
        </w:rPr>
      </w:pPr>
      <w:r w:rsidRPr="00D800FC">
        <w:rPr>
          <w:color w:val="000000"/>
        </w:rPr>
        <w:t xml:space="preserve">La revue du respect des délais dans le cadre de passation des marchés </w:t>
      </w:r>
      <w:r>
        <w:rPr>
          <w:color w:val="000000"/>
        </w:rPr>
        <w:t xml:space="preserve"> a révélé que</w:t>
      </w:r>
      <w:r w:rsidR="005A62A4">
        <w:rPr>
          <w:color w:val="000000"/>
        </w:rPr>
        <w:t xml:space="preserve"> seule </w:t>
      </w:r>
      <w:r>
        <w:rPr>
          <w:color w:val="000000"/>
        </w:rPr>
        <w:t xml:space="preserve"> la Direction des Marchés Publics et des Délégations de Service P</w:t>
      </w:r>
      <w:r w:rsidRPr="00D800FC">
        <w:rPr>
          <w:color w:val="000000"/>
        </w:rPr>
        <w:t xml:space="preserve">ublic de la Cellule de Crises Alimentaires </w:t>
      </w:r>
      <w:r>
        <w:rPr>
          <w:color w:val="000000"/>
        </w:rPr>
        <w:t xml:space="preserve"> (CCA) a</w:t>
      </w:r>
      <w:r w:rsidRPr="00D800FC">
        <w:rPr>
          <w:color w:val="000000"/>
        </w:rPr>
        <w:t xml:space="preserve"> respecté les délais dans le cadre de passation des marchés.</w:t>
      </w:r>
    </w:p>
    <w:p w:rsidR="009466DC" w:rsidRDefault="009466DC" w:rsidP="006026FE">
      <w:pPr>
        <w:spacing w:line="276" w:lineRule="auto"/>
        <w:jc w:val="both"/>
        <w:rPr>
          <w:color w:val="000000"/>
        </w:rPr>
      </w:pPr>
    </w:p>
    <w:p w:rsidR="009466DC" w:rsidRDefault="009466DC" w:rsidP="006026FE">
      <w:pPr>
        <w:spacing w:line="276" w:lineRule="auto"/>
        <w:jc w:val="both"/>
        <w:rPr>
          <w:color w:val="000000"/>
        </w:rPr>
      </w:pPr>
    </w:p>
    <w:p w:rsidR="009466DC" w:rsidRDefault="009466DC" w:rsidP="006026FE">
      <w:pPr>
        <w:spacing w:line="276" w:lineRule="auto"/>
        <w:jc w:val="both"/>
        <w:rPr>
          <w:color w:val="000000"/>
        </w:rPr>
      </w:pPr>
    </w:p>
    <w:p w:rsidR="009466DC" w:rsidRDefault="009466DC" w:rsidP="006026FE">
      <w:pPr>
        <w:spacing w:line="276" w:lineRule="auto"/>
        <w:jc w:val="both"/>
        <w:rPr>
          <w:color w:val="000000"/>
        </w:rPr>
      </w:pPr>
    </w:p>
    <w:p w:rsidR="009466DC" w:rsidRDefault="009466DC" w:rsidP="006026FE">
      <w:pPr>
        <w:spacing w:line="276" w:lineRule="auto"/>
        <w:jc w:val="both"/>
        <w:rPr>
          <w:color w:val="000000"/>
        </w:rPr>
      </w:pPr>
    </w:p>
    <w:p w:rsidR="009466DC" w:rsidRDefault="009466DC" w:rsidP="006026FE">
      <w:pPr>
        <w:spacing w:line="276" w:lineRule="auto"/>
        <w:jc w:val="both"/>
        <w:rPr>
          <w:color w:val="000000"/>
        </w:rPr>
      </w:pPr>
    </w:p>
    <w:p w:rsidR="009466DC" w:rsidRDefault="009466DC" w:rsidP="006026FE">
      <w:pPr>
        <w:spacing w:line="276" w:lineRule="auto"/>
        <w:jc w:val="both"/>
        <w:rPr>
          <w:color w:val="000000"/>
        </w:rPr>
      </w:pPr>
    </w:p>
    <w:p w:rsidR="009466DC" w:rsidRDefault="009466DC" w:rsidP="006026FE">
      <w:pPr>
        <w:spacing w:line="276" w:lineRule="auto"/>
        <w:jc w:val="both"/>
        <w:rPr>
          <w:color w:val="000000"/>
        </w:rPr>
      </w:pPr>
    </w:p>
    <w:p w:rsidR="009466DC" w:rsidRDefault="009466DC" w:rsidP="006026FE">
      <w:pPr>
        <w:spacing w:line="276" w:lineRule="auto"/>
        <w:jc w:val="both"/>
        <w:rPr>
          <w:color w:val="000000"/>
        </w:rPr>
      </w:pPr>
    </w:p>
    <w:p w:rsidR="009466DC" w:rsidRDefault="009466DC" w:rsidP="006026FE">
      <w:pPr>
        <w:spacing w:line="276" w:lineRule="auto"/>
        <w:jc w:val="both"/>
        <w:rPr>
          <w:color w:val="000000"/>
        </w:rPr>
      </w:pPr>
    </w:p>
    <w:p w:rsidR="009466DC" w:rsidRDefault="009466DC" w:rsidP="006026FE">
      <w:pPr>
        <w:spacing w:line="276" w:lineRule="auto"/>
        <w:jc w:val="both"/>
        <w:rPr>
          <w:color w:val="000000"/>
        </w:rPr>
      </w:pPr>
    </w:p>
    <w:p w:rsidR="009466DC" w:rsidRDefault="009466DC" w:rsidP="006026FE">
      <w:pPr>
        <w:spacing w:line="276" w:lineRule="auto"/>
        <w:jc w:val="both"/>
        <w:rPr>
          <w:color w:val="000000"/>
        </w:rPr>
      </w:pPr>
    </w:p>
    <w:p w:rsidR="009466DC" w:rsidRDefault="009466DC" w:rsidP="006026FE">
      <w:pPr>
        <w:spacing w:line="276" w:lineRule="auto"/>
        <w:jc w:val="both"/>
        <w:rPr>
          <w:color w:val="000000"/>
        </w:rPr>
      </w:pPr>
    </w:p>
    <w:p w:rsidR="009466DC" w:rsidRDefault="009466DC" w:rsidP="006026FE">
      <w:pPr>
        <w:spacing w:line="276" w:lineRule="auto"/>
        <w:jc w:val="both"/>
        <w:rPr>
          <w:color w:val="000000"/>
        </w:rPr>
      </w:pPr>
    </w:p>
    <w:p w:rsidR="009466DC" w:rsidRDefault="009466DC" w:rsidP="006026FE">
      <w:pPr>
        <w:spacing w:line="276" w:lineRule="auto"/>
        <w:jc w:val="both"/>
        <w:rPr>
          <w:color w:val="000000"/>
        </w:rPr>
      </w:pPr>
    </w:p>
    <w:p w:rsidR="009466DC" w:rsidRDefault="009466DC" w:rsidP="006026FE">
      <w:pPr>
        <w:spacing w:line="276" w:lineRule="auto"/>
        <w:jc w:val="both"/>
        <w:rPr>
          <w:color w:val="000000"/>
        </w:rPr>
      </w:pPr>
    </w:p>
    <w:p w:rsidR="009466DC" w:rsidRDefault="009466DC" w:rsidP="006026FE">
      <w:pPr>
        <w:spacing w:line="276" w:lineRule="auto"/>
        <w:jc w:val="both"/>
        <w:rPr>
          <w:color w:val="000000"/>
        </w:rPr>
      </w:pPr>
    </w:p>
    <w:p w:rsidR="009466DC" w:rsidRDefault="009466DC" w:rsidP="006026FE">
      <w:pPr>
        <w:spacing w:line="276" w:lineRule="auto"/>
        <w:jc w:val="both"/>
        <w:rPr>
          <w:color w:val="000000"/>
        </w:rPr>
      </w:pPr>
    </w:p>
    <w:p w:rsidR="009466DC" w:rsidRDefault="009466DC" w:rsidP="006026FE">
      <w:pPr>
        <w:spacing w:line="276" w:lineRule="auto"/>
        <w:jc w:val="both"/>
        <w:rPr>
          <w:color w:val="000000"/>
        </w:rPr>
      </w:pPr>
    </w:p>
    <w:p w:rsidR="009466DC" w:rsidRDefault="009466DC" w:rsidP="006026FE">
      <w:pPr>
        <w:spacing w:line="276" w:lineRule="auto"/>
        <w:jc w:val="both"/>
        <w:rPr>
          <w:color w:val="000000"/>
        </w:rPr>
      </w:pPr>
    </w:p>
    <w:p w:rsidR="009466DC" w:rsidRDefault="009466DC" w:rsidP="006026FE">
      <w:pPr>
        <w:spacing w:line="276" w:lineRule="auto"/>
        <w:jc w:val="both"/>
        <w:rPr>
          <w:color w:val="000000"/>
        </w:rPr>
      </w:pPr>
    </w:p>
    <w:p w:rsidR="00F23204" w:rsidRDefault="00F23204" w:rsidP="003B1432">
      <w:pPr>
        <w:spacing w:line="276" w:lineRule="auto"/>
        <w:rPr>
          <w:b/>
        </w:rPr>
      </w:pPr>
    </w:p>
    <w:p w:rsidR="00F23204" w:rsidRDefault="00F23204" w:rsidP="003B1432">
      <w:pPr>
        <w:spacing w:line="276" w:lineRule="auto"/>
        <w:rPr>
          <w:b/>
        </w:rPr>
      </w:pPr>
    </w:p>
    <w:p w:rsidR="00D40752" w:rsidRPr="00D40752" w:rsidRDefault="00D40752" w:rsidP="003B1432">
      <w:pPr>
        <w:spacing w:line="276" w:lineRule="auto"/>
        <w:rPr>
          <w:b/>
        </w:rPr>
      </w:pPr>
      <w:r w:rsidRPr="00D40752">
        <w:rPr>
          <w:b/>
        </w:rPr>
        <w:t>5.1.3 APPRECIATION DE LA BONNE CONDUITE GENERALE ET CONTRACTUELLE DU MARCHE</w:t>
      </w:r>
    </w:p>
    <w:p w:rsidR="005A62A4" w:rsidRPr="005A62A4" w:rsidRDefault="005A62A4" w:rsidP="005A62A4">
      <w:pPr>
        <w:spacing w:line="276" w:lineRule="auto"/>
        <w:jc w:val="both"/>
        <w:rPr>
          <w:b/>
          <w:bCs/>
        </w:rPr>
      </w:pPr>
    </w:p>
    <w:p w:rsidR="000B5368" w:rsidRDefault="004A53A7" w:rsidP="006026FE">
      <w:pPr>
        <w:spacing w:line="276" w:lineRule="auto"/>
        <w:jc w:val="both"/>
        <w:rPr>
          <w:b/>
        </w:rPr>
      </w:pPr>
      <w:r w:rsidRPr="004A53A7">
        <w:rPr>
          <w:b/>
        </w:rPr>
        <w:t>5.1.3.1</w:t>
      </w:r>
      <w:r w:rsidR="004F23B7">
        <w:rPr>
          <w:b/>
        </w:rPr>
        <w:t xml:space="preserve"> </w:t>
      </w:r>
      <w:r w:rsidR="000B5368" w:rsidRPr="009306A3">
        <w:rPr>
          <w:b/>
        </w:rPr>
        <w:t>Inscription du marché dans le plan de passation des marchés</w:t>
      </w:r>
      <w:r w:rsidR="000B5368">
        <w:rPr>
          <w:b/>
        </w:rPr>
        <w:t xml:space="preserve"> </w:t>
      </w:r>
      <w:r w:rsidR="00F23204">
        <w:rPr>
          <w:b/>
        </w:rPr>
        <w:t xml:space="preserve">                          </w:t>
      </w:r>
      <w:r w:rsidR="000B5368">
        <w:rPr>
          <w:b/>
        </w:rPr>
        <w:t>(7/9)</w:t>
      </w:r>
    </w:p>
    <w:p w:rsidR="003B1432" w:rsidRDefault="003B1432" w:rsidP="003B1432">
      <w:pPr>
        <w:spacing w:line="276" w:lineRule="auto"/>
        <w:jc w:val="both"/>
      </w:pPr>
      <w:r w:rsidRPr="003B1432">
        <w:t>Sous peine de nullité, les marchés passés par l'autorité contractante doivent avoir été préalablement inscrits dans le plan prévisionnel annuel. Cette disposition a été respectée par sept autorités contractantes</w:t>
      </w:r>
      <w:r>
        <w:t> :</w:t>
      </w:r>
    </w:p>
    <w:p w:rsidR="009466DC" w:rsidRPr="00165CDE" w:rsidRDefault="009466DC" w:rsidP="00D10A01">
      <w:pPr>
        <w:pStyle w:val="Paragraphedeliste"/>
        <w:numPr>
          <w:ilvl w:val="0"/>
          <w:numId w:val="39"/>
        </w:numPr>
        <w:spacing w:line="276" w:lineRule="auto"/>
        <w:jc w:val="both"/>
      </w:pPr>
      <w:r w:rsidRPr="009466DC">
        <w:rPr>
          <w:bCs/>
        </w:rPr>
        <w:t xml:space="preserve">Société Nigérienne Des Produits Pétroliers (SONIDEP), </w:t>
      </w:r>
    </w:p>
    <w:p w:rsidR="009466DC" w:rsidRPr="00165CDE" w:rsidRDefault="009466DC" w:rsidP="00D10A01">
      <w:pPr>
        <w:pStyle w:val="Paragraphedeliste"/>
        <w:numPr>
          <w:ilvl w:val="0"/>
          <w:numId w:val="29"/>
        </w:numPr>
        <w:spacing w:line="276" w:lineRule="auto"/>
        <w:jc w:val="both"/>
      </w:pPr>
      <w:r w:rsidRPr="00165CDE">
        <w:rPr>
          <w:bCs/>
        </w:rPr>
        <w:t xml:space="preserve">Office National d'Edition et de Presse (ONEP), </w:t>
      </w:r>
    </w:p>
    <w:p w:rsidR="009466DC" w:rsidRPr="00165CDE" w:rsidRDefault="009466DC" w:rsidP="00D10A01">
      <w:pPr>
        <w:pStyle w:val="Paragraphedeliste"/>
        <w:numPr>
          <w:ilvl w:val="0"/>
          <w:numId w:val="29"/>
        </w:numPr>
        <w:spacing w:line="276" w:lineRule="auto"/>
        <w:jc w:val="both"/>
      </w:pPr>
      <w:r w:rsidRPr="00165CDE">
        <w:rPr>
          <w:bCs/>
        </w:rPr>
        <w:t xml:space="preserve">Ministère de l'Equipement/CAFER </w:t>
      </w:r>
    </w:p>
    <w:p w:rsidR="009466DC" w:rsidRPr="00165CDE" w:rsidRDefault="009466DC" w:rsidP="00D10A01">
      <w:pPr>
        <w:pStyle w:val="Paragraphedeliste"/>
        <w:numPr>
          <w:ilvl w:val="0"/>
          <w:numId w:val="29"/>
        </w:numPr>
        <w:spacing w:line="276" w:lineRule="auto"/>
        <w:jc w:val="both"/>
      </w:pPr>
      <w:r w:rsidRPr="00165CDE">
        <w:rPr>
          <w:bCs/>
        </w:rPr>
        <w:t xml:space="preserve">Cellule de Crises Alimentaire (CCA), </w:t>
      </w:r>
    </w:p>
    <w:p w:rsidR="009466DC" w:rsidRPr="00165CDE" w:rsidRDefault="009466DC" w:rsidP="00D10A01">
      <w:pPr>
        <w:pStyle w:val="Paragraphedeliste"/>
        <w:numPr>
          <w:ilvl w:val="0"/>
          <w:numId w:val="29"/>
        </w:numPr>
        <w:spacing w:line="276" w:lineRule="auto"/>
        <w:jc w:val="both"/>
      </w:pPr>
      <w:r w:rsidRPr="00165CDE">
        <w:rPr>
          <w:bCs/>
        </w:rPr>
        <w:t xml:space="preserve">Haut-Commissariat à l'Aménagement de la Vallée du Niger (HCAVN), </w:t>
      </w:r>
    </w:p>
    <w:p w:rsidR="009466DC" w:rsidRPr="006470E9" w:rsidRDefault="009466DC" w:rsidP="00D10A01">
      <w:pPr>
        <w:pStyle w:val="Paragraphedeliste"/>
        <w:numPr>
          <w:ilvl w:val="0"/>
          <w:numId w:val="29"/>
        </w:numPr>
        <w:spacing w:line="276" w:lineRule="auto"/>
        <w:jc w:val="both"/>
      </w:pPr>
      <w:r w:rsidRPr="00165CDE">
        <w:rPr>
          <w:bCs/>
        </w:rPr>
        <w:t xml:space="preserve">Cellule de Coordination Humanitaire (CCH), </w:t>
      </w:r>
    </w:p>
    <w:p w:rsidR="009466DC" w:rsidRPr="00350871" w:rsidRDefault="009466DC" w:rsidP="00D10A01">
      <w:pPr>
        <w:pStyle w:val="Paragraphedeliste"/>
        <w:numPr>
          <w:ilvl w:val="0"/>
          <w:numId w:val="29"/>
        </w:numPr>
        <w:spacing w:line="276" w:lineRule="auto"/>
        <w:jc w:val="both"/>
      </w:pPr>
      <w:r>
        <w:rPr>
          <w:bCs/>
        </w:rPr>
        <w:t>Direction Régionale de l’Hydraulique et de l’Assainissement de Tillabéri</w:t>
      </w:r>
      <w:r w:rsidR="002429C4">
        <w:rPr>
          <w:bCs/>
        </w:rPr>
        <w:t xml:space="preserve"> </w:t>
      </w:r>
      <w:r>
        <w:rPr>
          <w:bCs/>
        </w:rPr>
        <w:t>(DRHA/Ti) </w:t>
      </w:r>
    </w:p>
    <w:p w:rsidR="004A53A7" w:rsidRDefault="004A53A7" w:rsidP="006026FE">
      <w:pPr>
        <w:spacing w:line="276" w:lineRule="auto"/>
        <w:jc w:val="both"/>
        <w:rPr>
          <w:b/>
        </w:rPr>
      </w:pPr>
    </w:p>
    <w:p w:rsidR="00000ECC" w:rsidRDefault="00000ECC" w:rsidP="006026FE">
      <w:pPr>
        <w:spacing w:line="276" w:lineRule="auto"/>
        <w:jc w:val="both"/>
        <w:rPr>
          <w:b/>
        </w:rPr>
      </w:pPr>
      <w:r>
        <w:rPr>
          <w:b/>
        </w:rPr>
        <w:t xml:space="preserve">5.1.3.2 </w:t>
      </w:r>
      <w:r w:rsidR="000B5368" w:rsidRPr="00465F4E">
        <w:rPr>
          <w:b/>
        </w:rPr>
        <w:t xml:space="preserve">  Règles d’autorisation et contrôles préalables</w:t>
      </w:r>
    </w:p>
    <w:p w:rsidR="000B5368" w:rsidRPr="00465F4E" w:rsidRDefault="00000ECC" w:rsidP="006026FE">
      <w:pPr>
        <w:spacing w:line="276" w:lineRule="auto"/>
        <w:jc w:val="both"/>
        <w:rPr>
          <w:b/>
        </w:rPr>
      </w:pPr>
      <w:r>
        <w:rPr>
          <w:b/>
        </w:rPr>
        <w:t xml:space="preserve">5.1.3.3 </w:t>
      </w:r>
      <w:r w:rsidR="000B5368" w:rsidRPr="00465F4E">
        <w:rPr>
          <w:b/>
        </w:rPr>
        <w:t xml:space="preserve"> Avis de conformité sur le DAO</w:t>
      </w:r>
      <w:r w:rsidR="00583F0F">
        <w:rPr>
          <w:b/>
        </w:rPr>
        <w:tab/>
      </w:r>
      <w:r w:rsidR="00583F0F">
        <w:rPr>
          <w:b/>
        </w:rPr>
        <w:tab/>
      </w:r>
      <w:r w:rsidR="00583F0F">
        <w:rPr>
          <w:b/>
        </w:rPr>
        <w:tab/>
      </w:r>
      <w:r w:rsidR="00583F0F">
        <w:rPr>
          <w:b/>
        </w:rPr>
        <w:tab/>
      </w:r>
      <w:r w:rsidR="00583F0F">
        <w:rPr>
          <w:b/>
        </w:rPr>
        <w:tab/>
      </w:r>
      <w:r w:rsidR="00583F0F">
        <w:rPr>
          <w:b/>
        </w:rPr>
        <w:tab/>
      </w:r>
      <w:r w:rsidR="00583F0F">
        <w:rPr>
          <w:b/>
        </w:rPr>
        <w:tab/>
        <w:t>(4/9)</w:t>
      </w:r>
    </w:p>
    <w:p w:rsidR="009466DC" w:rsidRDefault="00583F0F" w:rsidP="006026FE">
      <w:pPr>
        <w:spacing w:line="276" w:lineRule="auto"/>
        <w:jc w:val="both"/>
      </w:pPr>
      <w:r>
        <w:t xml:space="preserve">L’obtention de l’avis de conformité sur le DAO </w:t>
      </w:r>
      <w:r w:rsidR="003B1432" w:rsidRPr="003B1432">
        <w:t xml:space="preserve">de l’entité administrative (DGCMP/EF) chargée de contrôle a priori des marchés publics </w:t>
      </w:r>
      <w:r>
        <w:t>a été respectée par quatre (4) Autorités Contractantes</w:t>
      </w:r>
      <w:r w:rsidR="000B5368">
        <w:t xml:space="preserve"> : </w:t>
      </w:r>
    </w:p>
    <w:p w:rsidR="000B5368" w:rsidRDefault="000B5368" w:rsidP="00D10A01">
      <w:pPr>
        <w:pStyle w:val="Paragraphedeliste"/>
        <w:numPr>
          <w:ilvl w:val="0"/>
          <w:numId w:val="40"/>
        </w:numPr>
        <w:spacing w:line="276" w:lineRule="auto"/>
        <w:jc w:val="both"/>
      </w:pPr>
      <w:r>
        <w:t>Office National</w:t>
      </w:r>
      <w:r w:rsidR="003B1432">
        <w:t xml:space="preserve"> d’Edition et de Presse (ONEP) ;</w:t>
      </w:r>
    </w:p>
    <w:p w:rsidR="009466DC" w:rsidRDefault="009466DC" w:rsidP="00D10A01">
      <w:pPr>
        <w:pStyle w:val="Paragraphedeliste"/>
        <w:numPr>
          <w:ilvl w:val="0"/>
          <w:numId w:val="40"/>
        </w:numPr>
      </w:pPr>
      <w:r w:rsidRPr="009466DC">
        <w:rPr>
          <w:bCs/>
        </w:rPr>
        <w:t>Haut-Commissariat à l'Aménagemen</w:t>
      </w:r>
      <w:r w:rsidR="003B1432">
        <w:rPr>
          <w:bCs/>
        </w:rPr>
        <w:t>t de la Vallée du Niger (HCAVN) ;</w:t>
      </w:r>
    </w:p>
    <w:p w:rsidR="009466DC" w:rsidRPr="00350871" w:rsidRDefault="009466DC" w:rsidP="00D10A01">
      <w:pPr>
        <w:pStyle w:val="Paragraphedeliste"/>
        <w:numPr>
          <w:ilvl w:val="0"/>
          <w:numId w:val="40"/>
        </w:numPr>
        <w:spacing w:line="276" w:lineRule="auto"/>
        <w:jc w:val="both"/>
      </w:pPr>
      <w:r>
        <w:rPr>
          <w:bCs/>
        </w:rPr>
        <w:t>Direction Régionale de l’Hydraulique et de l’Assainissement de Tillabéri</w:t>
      </w:r>
      <w:r w:rsidR="007679FA">
        <w:rPr>
          <w:bCs/>
        </w:rPr>
        <w:t xml:space="preserve"> </w:t>
      </w:r>
      <w:r w:rsidR="003B1432">
        <w:rPr>
          <w:bCs/>
        </w:rPr>
        <w:t>(DRHA/Ti) ;</w:t>
      </w:r>
    </w:p>
    <w:p w:rsidR="009466DC" w:rsidRDefault="009466DC" w:rsidP="00D10A01">
      <w:pPr>
        <w:pStyle w:val="Paragraphedeliste"/>
        <w:numPr>
          <w:ilvl w:val="0"/>
          <w:numId w:val="40"/>
        </w:numPr>
        <w:spacing w:line="276" w:lineRule="auto"/>
        <w:jc w:val="both"/>
      </w:pPr>
      <w:r w:rsidRPr="00165CDE">
        <w:rPr>
          <w:bCs/>
        </w:rPr>
        <w:t>Centrale d'Approvisionnement en Intrants</w:t>
      </w:r>
      <w:r w:rsidR="003B1432">
        <w:rPr>
          <w:bCs/>
        </w:rPr>
        <w:t xml:space="preserve"> et Matériels Agricoles (CAIMA).</w:t>
      </w:r>
    </w:p>
    <w:p w:rsidR="00000ECC" w:rsidRDefault="00000ECC" w:rsidP="006026FE">
      <w:pPr>
        <w:spacing w:line="276" w:lineRule="auto"/>
        <w:jc w:val="both"/>
      </w:pPr>
    </w:p>
    <w:p w:rsidR="000B5368" w:rsidRPr="00465F4E" w:rsidRDefault="00000ECC" w:rsidP="006026FE">
      <w:pPr>
        <w:spacing w:line="276" w:lineRule="auto"/>
        <w:jc w:val="both"/>
        <w:rPr>
          <w:b/>
        </w:rPr>
      </w:pPr>
      <w:r>
        <w:rPr>
          <w:b/>
        </w:rPr>
        <w:t xml:space="preserve">5.1.3.4 </w:t>
      </w:r>
      <w:r w:rsidR="000B5368" w:rsidRPr="00465F4E">
        <w:rPr>
          <w:b/>
        </w:rPr>
        <w:t>Avis de conformité sur les procès-verbaux d’attribution des marchés</w:t>
      </w:r>
      <w:r w:rsidR="004F23B7">
        <w:rPr>
          <w:b/>
        </w:rPr>
        <w:tab/>
      </w:r>
      <w:r w:rsidR="004F23B7">
        <w:rPr>
          <w:b/>
        </w:rPr>
        <w:tab/>
        <w:t>(7</w:t>
      </w:r>
      <w:r w:rsidR="00583F0F">
        <w:rPr>
          <w:b/>
        </w:rPr>
        <w:t>/9</w:t>
      </w:r>
      <w:r w:rsidR="000B5368">
        <w:rPr>
          <w:b/>
        </w:rPr>
        <w:t>)</w:t>
      </w:r>
    </w:p>
    <w:p w:rsidR="000B5368" w:rsidRDefault="00583F0F" w:rsidP="006026FE">
      <w:pPr>
        <w:spacing w:line="276" w:lineRule="auto"/>
        <w:jc w:val="both"/>
      </w:pPr>
      <w:r>
        <w:t xml:space="preserve">L’obtention de l’avis de conformité sur les procès-verbaux d’attribution des marchés  </w:t>
      </w:r>
      <w:r w:rsidR="003B1432" w:rsidRPr="003B1432">
        <w:t>de l’entité administrative (DGCMP/EF) chargée de contrôle a priori des marchés publics</w:t>
      </w:r>
      <w:r>
        <w:t xml:space="preserve"> a été respectée par six (6) Autorités Contractantes </w:t>
      </w:r>
      <w:r w:rsidR="000B5368">
        <w:t>:</w:t>
      </w:r>
    </w:p>
    <w:p w:rsidR="009466DC" w:rsidRDefault="000B5368" w:rsidP="00D10A01">
      <w:pPr>
        <w:pStyle w:val="Paragraphedeliste"/>
        <w:numPr>
          <w:ilvl w:val="0"/>
          <w:numId w:val="41"/>
        </w:numPr>
        <w:spacing w:line="276" w:lineRule="auto"/>
        <w:jc w:val="both"/>
      </w:pPr>
      <w:r>
        <w:t xml:space="preserve">Office National d’Edition et de Presse (ONEP), </w:t>
      </w:r>
    </w:p>
    <w:p w:rsidR="009466DC" w:rsidRDefault="000B5368" w:rsidP="00D10A01">
      <w:pPr>
        <w:pStyle w:val="Paragraphedeliste"/>
        <w:numPr>
          <w:ilvl w:val="0"/>
          <w:numId w:val="41"/>
        </w:numPr>
        <w:spacing w:line="276" w:lineRule="auto"/>
        <w:jc w:val="both"/>
      </w:pPr>
      <w:r>
        <w:t xml:space="preserve">Ministère de l’Equipement/CAFER, </w:t>
      </w:r>
    </w:p>
    <w:p w:rsidR="004F23B7" w:rsidRDefault="004F23B7" w:rsidP="004F23B7">
      <w:pPr>
        <w:pStyle w:val="Paragraphedeliste"/>
        <w:numPr>
          <w:ilvl w:val="0"/>
          <w:numId w:val="41"/>
        </w:numPr>
        <w:spacing w:line="276" w:lineRule="auto"/>
        <w:jc w:val="both"/>
      </w:pPr>
      <w:r w:rsidRPr="00165CDE">
        <w:rPr>
          <w:bCs/>
        </w:rPr>
        <w:t>Centrale d'Approvisionnement en Intrants</w:t>
      </w:r>
      <w:r>
        <w:rPr>
          <w:bCs/>
        </w:rPr>
        <w:t xml:space="preserve"> et Matériels Agricoles (CAIMA).</w:t>
      </w:r>
    </w:p>
    <w:p w:rsidR="009466DC" w:rsidRDefault="000B5368" w:rsidP="00D10A01">
      <w:pPr>
        <w:pStyle w:val="Paragraphedeliste"/>
        <w:numPr>
          <w:ilvl w:val="0"/>
          <w:numId w:val="41"/>
        </w:numPr>
        <w:spacing w:line="276" w:lineRule="auto"/>
        <w:jc w:val="both"/>
      </w:pPr>
      <w:r>
        <w:t>Cellule de Crises Alimentaire (</w:t>
      </w:r>
      <w:r w:rsidRPr="000041A5">
        <w:t>CCA</w:t>
      </w:r>
      <w:r>
        <w:t xml:space="preserve">), </w:t>
      </w:r>
    </w:p>
    <w:p w:rsidR="009466DC" w:rsidRPr="00165CDE" w:rsidRDefault="009466DC" w:rsidP="00D10A01">
      <w:pPr>
        <w:pStyle w:val="Paragraphedeliste"/>
        <w:numPr>
          <w:ilvl w:val="0"/>
          <w:numId w:val="41"/>
        </w:numPr>
        <w:spacing w:line="276" w:lineRule="auto"/>
        <w:jc w:val="both"/>
      </w:pPr>
      <w:r w:rsidRPr="00165CDE">
        <w:rPr>
          <w:bCs/>
        </w:rPr>
        <w:t xml:space="preserve">Haut-Commissariat à l'Aménagement de la Vallée du Niger (HCAVN), </w:t>
      </w:r>
    </w:p>
    <w:p w:rsidR="009466DC" w:rsidRDefault="000B5368" w:rsidP="00D10A01">
      <w:pPr>
        <w:pStyle w:val="Paragraphedeliste"/>
        <w:numPr>
          <w:ilvl w:val="0"/>
          <w:numId w:val="41"/>
        </w:numPr>
        <w:spacing w:line="276" w:lineRule="auto"/>
        <w:jc w:val="both"/>
      </w:pPr>
      <w:r>
        <w:t>Cellule de Coordination Humanitaire (</w:t>
      </w:r>
      <w:r w:rsidRPr="000041A5">
        <w:t>CCH</w:t>
      </w:r>
      <w:r>
        <w:t xml:space="preserve">), </w:t>
      </w:r>
    </w:p>
    <w:p w:rsidR="000B5368" w:rsidRDefault="000B5368" w:rsidP="00D10A01">
      <w:pPr>
        <w:pStyle w:val="Paragraphedeliste"/>
        <w:numPr>
          <w:ilvl w:val="0"/>
          <w:numId w:val="41"/>
        </w:numPr>
        <w:spacing w:line="276" w:lineRule="auto"/>
        <w:jc w:val="both"/>
      </w:pPr>
      <w:r>
        <w:t>Direction Régionale de l’Hydraulique et de l’Assainissement de Tillabéri (DRHA/Ti)</w:t>
      </w:r>
    </w:p>
    <w:p w:rsidR="00583F0F" w:rsidRDefault="00583F0F" w:rsidP="006026FE">
      <w:pPr>
        <w:spacing w:line="276" w:lineRule="auto"/>
        <w:jc w:val="both"/>
      </w:pPr>
    </w:p>
    <w:p w:rsidR="004F23B7" w:rsidRDefault="004F23B7" w:rsidP="006026FE">
      <w:pPr>
        <w:spacing w:line="276" w:lineRule="auto"/>
        <w:jc w:val="both"/>
        <w:rPr>
          <w:b/>
        </w:rPr>
      </w:pPr>
    </w:p>
    <w:p w:rsidR="004D30BF" w:rsidRDefault="004D30BF" w:rsidP="006026FE">
      <w:pPr>
        <w:spacing w:line="276" w:lineRule="auto"/>
        <w:jc w:val="both"/>
        <w:rPr>
          <w:b/>
        </w:rPr>
      </w:pPr>
    </w:p>
    <w:p w:rsidR="004D30BF" w:rsidRDefault="004D30BF" w:rsidP="006026FE">
      <w:pPr>
        <w:spacing w:line="276" w:lineRule="auto"/>
        <w:jc w:val="both"/>
        <w:rPr>
          <w:b/>
        </w:rPr>
      </w:pPr>
    </w:p>
    <w:p w:rsidR="004D30BF" w:rsidRDefault="004D30BF" w:rsidP="006026FE">
      <w:pPr>
        <w:spacing w:line="276" w:lineRule="auto"/>
        <w:jc w:val="both"/>
        <w:rPr>
          <w:b/>
        </w:rPr>
      </w:pPr>
    </w:p>
    <w:p w:rsidR="004F23B7" w:rsidRDefault="004F23B7" w:rsidP="006026FE">
      <w:pPr>
        <w:spacing w:line="276" w:lineRule="auto"/>
        <w:jc w:val="both"/>
        <w:rPr>
          <w:b/>
        </w:rPr>
      </w:pPr>
    </w:p>
    <w:p w:rsidR="000B5368" w:rsidRPr="000041A5" w:rsidRDefault="00000ECC" w:rsidP="006026FE">
      <w:pPr>
        <w:spacing w:line="276" w:lineRule="auto"/>
        <w:jc w:val="both"/>
        <w:rPr>
          <w:b/>
        </w:rPr>
      </w:pPr>
      <w:r>
        <w:rPr>
          <w:b/>
        </w:rPr>
        <w:t xml:space="preserve">5.1.3.5 </w:t>
      </w:r>
      <w:r w:rsidR="000B5368" w:rsidRPr="000041A5">
        <w:rPr>
          <w:b/>
        </w:rPr>
        <w:t>Autorisation pour les appels d’offres restreints et Ententes directes</w:t>
      </w:r>
      <w:r w:rsidR="00C441E8">
        <w:rPr>
          <w:b/>
        </w:rPr>
        <w:tab/>
      </w:r>
      <w:r w:rsidR="00C441E8">
        <w:rPr>
          <w:b/>
        </w:rPr>
        <w:tab/>
        <w:t>(9/9)</w:t>
      </w:r>
    </w:p>
    <w:p w:rsidR="009466DC" w:rsidRPr="004F23B7" w:rsidRDefault="00C441E8" w:rsidP="006026FE">
      <w:pPr>
        <w:spacing w:line="276" w:lineRule="auto"/>
        <w:jc w:val="both"/>
      </w:pPr>
      <w:r>
        <w:t>L’obtention de l’autorisation pour les Appels d’offres restreints et ententes directes de l’entité administrative chargée de contrôle à priori des marchés publics a été respecté par toutes les Autorités Contractantes</w:t>
      </w:r>
      <w:r w:rsidR="009466DC">
        <w:t xml:space="preserve"> du lot 2 :</w:t>
      </w:r>
    </w:p>
    <w:p w:rsidR="009466DC" w:rsidRPr="00165CDE" w:rsidRDefault="009466DC" w:rsidP="00D10A01">
      <w:pPr>
        <w:pStyle w:val="Paragraphedeliste"/>
        <w:numPr>
          <w:ilvl w:val="0"/>
          <w:numId w:val="34"/>
        </w:numPr>
        <w:spacing w:line="276" w:lineRule="auto"/>
        <w:jc w:val="both"/>
      </w:pPr>
      <w:r w:rsidRPr="00350871">
        <w:rPr>
          <w:bCs/>
        </w:rPr>
        <w:t xml:space="preserve">Société Nigérienne Des Produits Pétroliers (SONIDEP), </w:t>
      </w:r>
    </w:p>
    <w:p w:rsidR="009466DC" w:rsidRPr="00165CDE" w:rsidRDefault="009466DC" w:rsidP="00D10A01">
      <w:pPr>
        <w:pStyle w:val="Paragraphedeliste"/>
        <w:numPr>
          <w:ilvl w:val="0"/>
          <w:numId w:val="29"/>
        </w:numPr>
        <w:spacing w:line="276" w:lineRule="auto"/>
        <w:jc w:val="both"/>
      </w:pPr>
      <w:r w:rsidRPr="00165CDE">
        <w:rPr>
          <w:bCs/>
        </w:rPr>
        <w:t xml:space="preserve">Office National d'Edition et de Presse (ONEP), </w:t>
      </w:r>
    </w:p>
    <w:p w:rsidR="009466DC" w:rsidRPr="00165CDE" w:rsidRDefault="009466DC" w:rsidP="00D10A01">
      <w:pPr>
        <w:pStyle w:val="Paragraphedeliste"/>
        <w:numPr>
          <w:ilvl w:val="0"/>
          <w:numId w:val="29"/>
        </w:numPr>
        <w:spacing w:line="276" w:lineRule="auto"/>
        <w:jc w:val="both"/>
      </w:pPr>
      <w:r w:rsidRPr="00165CDE">
        <w:rPr>
          <w:bCs/>
        </w:rPr>
        <w:t>Centrale d'Approvisionnement en Intrants et Matériels Agricoles (CAIMA),</w:t>
      </w:r>
    </w:p>
    <w:p w:rsidR="009466DC" w:rsidRPr="00165CDE" w:rsidRDefault="009466DC" w:rsidP="00D10A01">
      <w:pPr>
        <w:pStyle w:val="Paragraphedeliste"/>
        <w:numPr>
          <w:ilvl w:val="0"/>
          <w:numId w:val="29"/>
        </w:numPr>
        <w:spacing w:line="276" w:lineRule="auto"/>
        <w:jc w:val="both"/>
      </w:pPr>
      <w:r w:rsidRPr="00165CDE">
        <w:rPr>
          <w:bCs/>
        </w:rPr>
        <w:t xml:space="preserve"> Ministère de l'Equipement/CAFER </w:t>
      </w:r>
    </w:p>
    <w:p w:rsidR="009466DC" w:rsidRPr="00165CDE" w:rsidRDefault="009466DC" w:rsidP="00D10A01">
      <w:pPr>
        <w:pStyle w:val="Paragraphedeliste"/>
        <w:numPr>
          <w:ilvl w:val="0"/>
          <w:numId w:val="29"/>
        </w:numPr>
        <w:spacing w:line="276" w:lineRule="auto"/>
        <w:jc w:val="both"/>
      </w:pPr>
      <w:r w:rsidRPr="00165CDE">
        <w:rPr>
          <w:bCs/>
        </w:rPr>
        <w:t xml:space="preserve">Cellule de Crises Alimentaire (CCA), </w:t>
      </w:r>
    </w:p>
    <w:p w:rsidR="009466DC" w:rsidRPr="00165CDE" w:rsidRDefault="009466DC" w:rsidP="00D10A01">
      <w:pPr>
        <w:pStyle w:val="Paragraphedeliste"/>
        <w:numPr>
          <w:ilvl w:val="0"/>
          <w:numId w:val="29"/>
        </w:numPr>
        <w:spacing w:line="276" w:lineRule="auto"/>
        <w:jc w:val="both"/>
      </w:pPr>
      <w:r w:rsidRPr="00165CDE">
        <w:rPr>
          <w:bCs/>
        </w:rPr>
        <w:t xml:space="preserve">Haut-Commissariat à l'Aménagement de la Vallée du Niger (HCAVN), </w:t>
      </w:r>
    </w:p>
    <w:p w:rsidR="009466DC" w:rsidRPr="006470E9" w:rsidRDefault="009466DC" w:rsidP="00D10A01">
      <w:pPr>
        <w:pStyle w:val="Paragraphedeliste"/>
        <w:numPr>
          <w:ilvl w:val="0"/>
          <w:numId w:val="29"/>
        </w:numPr>
        <w:spacing w:line="276" w:lineRule="auto"/>
        <w:jc w:val="both"/>
      </w:pPr>
      <w:r w:rsidRPr="00165CDE">
        <w:rPr>
          <w:bCs/>
        </w:rPr>
        <w:t xml:space="preserve">Cellule de Coordination Humanitaire (CCH), </w:t>
      </w:r>
    </w:p>
    <w:p w:rsidR="009466DC" w:rsidRPr="00350871" w:rsidRDefault="009466DC" w:rsidP="00D10A01">
      <w:pPr>
        <w:pStyle w:val="Paragraphedeliste"/>
        <w:numPr>
          <w:ilvl w:val="0"/>
          <w:numId w:val="29"/>
        </w:numPr>
        <w:spacing w:line="276" w:lineRule="auto"/>
        <w:jc w:val="both"/>
      </w:pPr>
      <w:r>
        <w:rPr>
          <w:bCs/>
        </w:rPr>
        <w:t>Ville de Niamey ;</w:t>
      </w:r>
    </w:p>
    <w:p w:rsidR="009466DC" w:rsidRPr="00350871" w:rsidRDefault="009466DC" w:rsidP="00D10A01">
      <w:pPr>
        <w:pStyle w:val="Paragraphedeliste"/>
        <w:numPr>
          <w:ilvl w:val="0"/>
          <w:numId w:val="29"/>
        </w:numPr>
        <w:spacing w:line="276" w:lineRule="auto"/>
        <w:jc w:val="both"/>
      </w:pPr>
      <w:r>
        <w:rPr>
          <w:bCs/>
        </w:rPr>
        <w:t>Direction Régionale de l’Hydraulique et de l’Assainissement de Tillabéri</w:t>
      </w:r>
      <w:r w:rsidR="002429C4">
        <w:rPr>
          <w:bCs/>
        </w:rPr>
        <w:t xml:space="preserve"> </w:t>
      </w:r>
      <w:r>
        <w:rPr>
          <w:bCs/>
        </w:rPr>
        <w:t>(DRHA/Ti) </w:t>
      </w:r>
    </w:p>
    <w:p w:rsidR="009466DC" w:rsidRDefault="009466DC" w:rsidP="006026FE">
      <w:pPr>
        <w:spacing w:line="276" w:lineRule="auto"/>
        <w:jc w:val="both"/>
        <w:rPr>
          <w:b/>
        </w:rPr>
      </w:pPr>
    </w:p>
    <w:p w:rsidR="000B5368" w:rsidRPr="00BA140A" w:rsidRDefault="00000ECC" w:rsidP="006026FE">
      <w:pPr>
        <w:spacing w:line="276" w:lineRule="auto"/>
        <w:jc w:val="both"/>
        <w:rPr>
          <w:b/>
        </w:rPr>
      </w:pPr>
      <w:r>
        <w:rPr>
          <w:b/>
        </w:rPr>
        <w:t xml:space="preserve">5.1.3.6 </w:t>
      </w:r>
      <w:r w:rsidR="000B5368" w:rsidRPr="00BA140A">
        <w:rPr>
          <w:b/>
        </w:rPr>
        <w:t>Autorisation de modification de DAO</w:t>
      </w:r>
      <w:r w:rsidR="00C441E8">
        <w:rPr>
          <w:b/>
        </w:rPr>
        <w:tab/>
      </w:r>
      <w:r w:rsidR="00C441E8">
        <w:rPr>
          <w:b/>
        </w:rPr>
        <w:tab/>
      </w:r>
      <w:r w:rsidR="00C441E8">
        <w:rPr>
          <w:b/>
        </w:rPr>
        <w:tab/>
      </w:r>
      <w:r w:rsidR="00C441E8">
        <w:rPr>
          <w:b/>
        </w:rPr>
        <w:tab/>
      </w:r>
      <w:r w:rsidR="00C441E8">
        <w:rPr>
          <w:b/>
        </w:rPr>
        <w:tab/>
      </w:r>
      <w:r w:rsidR="00C441E8">
        <w:rPr>
          <w:b/>
        </w:rPr>
        <w:tab/>
      </w:r>
      <w:r w:rsidR="008C407C">
        <w:rPr>
          <w:b/>
        </w:rPr>
        <w:t>(2/2</w:t>
      </w:r>
      <w:r w:rsidR="000B5368">
        <w:rPr>
          <w:b/>
        </w:rPr>
        <w:t>)</w:t>
      </w:r>
    </w:p>
    <w:p w:rsidR="000B5368" w:rsidRDefault="000B5368" w:rsidP="006026FE">
      <w:pPr>
        <w:spacing w:line="276" w:lineRule="auto"/>
        <w:jc w:val="both"/>
      </w:pPr>
      <w:r w:rsidRPr="00BA140A">
        <w:t>A l’issue de nos travaux nous n’avons pas constatés d’anomalie</w:t>
      </w:r>
      <w:r>
        <w:t xml:space="preserve"> sur les cas de modifications de DAO : les autorisations de modification des DAO ont  été obtenues</w:t>
      </w:r>
      <w:r w:rsidR="003B1432">
        <w:t xml:space="preserve"> de </w:t>
      </w:r>
      <w:r w:rsidR="00B95D06" w:rsidRPr="00B95D06">
        <w:t>l’entité administrative chargée de contrôle à priori des marchés publics</w:t>
      </w:r>
      <w:r w:rsidR="00B95D06">
        <w:t xml:space="preserve"> (DGCMP/EF)</w:t>
      </w:r>
      <w:r>
        <w:t> par les Autorités Contractante</w:t>
      </w:r>
      <w:r w:rsidR="00C441E8">
        <w:t>s</w:t>
      </w:r>
      <w:r>
        <w:t xml:space="preserve"> concernées à savoir  HCAVN et la Cellule de Coordination Humanitaire (CCH)</w:t>
      </w:r>
    </w:p>
    <w:p w:rsidR="008C407C" w:rsidRDefault="008C407C" w:rsidP="006026FE">
      <w:pPr>
        <w:spacing w:line="276" w:lineRule="auto"/>
        <w:jc w:val="both"/>
      </w:pPr>
      <w:r w:rsidRPr="008C407C">
        <w:rPr>
          <w:b/>
        </w:rPr>
        <w:t>NB</w:t>
      </w:r>
      <w:r>
        <w:t xml:space="preserve"> : </w:t>
      </w:r>
      <w:r w:rsidRPr="004938B9">
        <w:rPr>
          <w:i/>
        </w:rPr>
        <w:t xml:space="preserve">Taille de l’échantillon est  2 parce que  c’est  </w:t>
      </w:r>
      <w:r w:rsidR="00960DF3" w:rsidRPr="004938B9">
        <w:rPr>
          <w:i/>
        </w:rPr>
        <w:t>seulement</w:t>
      </w:r>
      <w:r w:rsidRPr="004938B9">
        <w:rPr>
          <w:i/>
        </w:rPr>
        <w:t xml:space="preserve"> </w:t>
      </w:r>
      <w:r w:rsidR="00B95D06" w:rsidRPr="004938B9">
        <w:rPr>
          <w:i/>
        </w:rPr>
        <w:t xml:space="preserve"> </w:t>
      </w:r>
      <w:r w:rsidR="00960DF3" w:rsidRPr="004938B9">
        <w:rPr>
          <w:i/>
        </w:rPr>
        <w:t>c</w:t>
      </w:r>
      <w:r w:rsidR="00B95D06" w:rsidRPr="004938B9">
        <w:rPr>
          <w:i/>
        </w:rPr>
        <w:t xml:space="preserve">es </w:t>
      </w:r>
      <w:r w:rsidRPr="004938B9">
        <w:rPr>
          <w:i/>
        </w:rPr>
        <w:t xml:space="preserve">deux Autorités Contractantes </w:t>
      </w:r>
      <w:r w:rsidR="00960DF3" w:rsidRPr="004938B9">
        <w:rPr>
          <w:i/>
        </w:rPr>
        <w:t>qui ont été concernées pour les</w:t>
      </w:r>
      <w:r w:rsidRPr="004938B9">
        <w:rPr>
          <w:i/>
        </w:rPr>
        <w:t xml:space="preserve"> cas de modification de DAO</w:t>
      </w:r>
      <w:r>
        <w:t>.</w:t>
      </w:r>
    </w:p>
    <w:p w:rsidR="000B5368" w:rsidRDefault="000B5368" w:rsidP="006026FE">
      <w:pPr>
        <w:spacing w:line="276" w:lineRule="auto"/>
        <w:jc w:val="both"/>
      </w:pPr>
    </w:p>
    <w:p w:rsidR="000B5368" w:rsidRPr="00113CB7" w:rsidRDefault="00000ECC" w:rsidP="006026FE">
      <w:pPr>
        <w:spacing w:line="276" w:lineRule="auto"/>
        <w:jc w:val="both"/>
        <w:rPr>
          <w:b/>
        </w:rPr>
      </w:pPr>
      <w:r w:rsidRPr="00000ECC">
        <w:rPr>
          <w:b/>
        </w:rPr>
        <w:t>5.1.3.7</w:t>
      </w:r>
      <w:r w:rsidR="000B5368" w:rsidRPr="00113CB7">
        <w:rPr>
          <w:b/>
        </w:rPr>
        <w:t xml:space="preserve"> Respect  des règles en matière de contenu et transmission des dossiers d’Appel d’offres</w:t>
      </w:r>
      <w:r w:rsidR="008C407C">
        <w:rPr>
          <w:b/>
        </w:rPr>
        <w:t xml:space="preserve"> (9/9</w:t>
      </w:r>
      <w:r w:rsidR="000B5368">
        <w:rPr>
          <w:b/>
        </w:rPr>
        <w:t>)</w:t>
      </w:r>
    </w:p>
    <w:p w:rsidR="000B5368" w:rsidRDefault="000B5368" w:rsidP="006026FE">
      <w:pPr>
        <w:spacing w:line="276" w:lineRule="auto"/>
        <w:jc w:val="both"/>
        <w:rPr>
          <w:color w:val="000000"/>
        </w:rPr>
      </w:pPr>
      <w:r w:rsidRPr="00113CB7">
        <w:rPr>
          <w:color w:val="000000"/>
        </w:rPr>
        <w:t>Nous n’avons pas relevé d’anomalie en matière de contenu et de transmission des dossiers d’appel d’offres</w:t>
      </w:r>
      <w:r>
        <w:rPr>
          <w:color w:val="000000"/>
        </w:rPr>
        <w:t xml:space="preserve"> pour l’ense</w:t>
      </w:r>
      <w:r w:rsidR="00B95D06">
        <w:rPr>
          <w:color w:val="000000"/>
        </w:rPr>
        <w:t>mble des Autorités Contractante.</w:t>
      </w:r>
    </w:p>
    <w:p w:rsidR="00000ECC" w:rsidRDefault="00000ECC" w:rsidP="006026FE">
      <w:pPr>
        <w:spacing w:line="276" w:lineRule="auto"/>
        <w:jc w:val="both"/>
        <w:rPr>
          <w:color w:val="000000"/>
        </w:rPr>
      </w:pPr>
    </w:p>
    <w:p w:rsidR="000B5368" w:rsidRDefault="00000ECC" w:rsidP="006026FE">
      <w:pPr>
        <w:spacing w:line="276" w:lineRule="auto"/>
        <w:jc w:val="both"/>
        <w:rPr>
          <w:b/>
        </w:rPr>
      </w:pPr>
      <w:r w:rsidRPr="00000ECC">
        <w:rPr>
          <w:b/>
          <w:color w:val="000000"/>
        </w:rPr>
        <w:t>5.1.3.8</w:t>
      </w:r>
      <w:r w:rsidR="000B5368" w:rsidRPr="00E1576D">
        <w:rPr>
          <w:b/>
        </w:rPr>
        <w:t xml:space="preserve"> Règles de publicité des Avis d’Appel d’Offres</w:t>
      </w:r>
      <w:r w:rsidR="007D068E">
        <w:rPr>
          <w:b/>
        </w:rPr>
        <w:tab/>
      </w:r>
      <w:r w:rsidR="007D068E">
        <w:rPr>
          <w:b/>
        </w:rPr>
        <w:tab/>
      </w:r>
      <w:r w:rsidR="007D068E">
        <w:rPr>
          <w:b/>
        </w:rPr>
        <w:tab/>
      </w:r>
      <w:r w:rsidR="007D068E">
        <w:rPr>
          <w:b/>
        </w:rPr>
        <w:tab/>
      </w:r>
      <w:r w:rsidR="007D068E">
        <w:rPr>
          <w:b/>
        </w:rPr>
        <w:tab/>
      </w:r>
      <w:r w:rsidR="004F23B7">
        <w:rPr>
          <w:b/>
        </w:rPr>
        <w:t>(5</w:t>
      </w:r>
      <w:r w:rsidR="008C407C">
        <w:rPr>
          <w:b/>
        </w:rPr>
        <w:t>/9</w:t>
      </w:r>
      <w:r w:rsidR="000B5368">
        <w:rPr>
          <w:b/>
        </w:rPr>
        <w:t>)</w:t>
      </w:r>
    </w:p>
    <w:p w:rsidR="00B95D06" w:rsidRDefault="000B5368" w:rsidP="006026FE">
      <w:pPr>
        <w:spacing w:line="276" w:lineRule="auto"/>
        <w:jc w:val="both"/>
      </w:pPr>
      <w:r w:rsidRPr="00E1576D">
        <w:t>Les règles de publicités des Avis d’Appel d’Offres ont été respectées</w:t>
      </w:r>
      <w:r w:rsidR="00B95D06">
        <w:t xml:space="preserve"> conformément aux dispositions de </w:t>
      </w:r>
      <w:r w:rsidR="00B95D06" w:rsidRPr="00B95D06">
        <w:t xml:space="preserve"> l’article 66 du décret 2013-519/PRN/PM du 20 décembre 2013 portant code des marchés publics et des délégations de service public</w:t>
      </w:r>
      <w:r w:rsidRPr="00E1576D">
        <w:t xml:space="preserve"> par les Autorités Contractantes suivantes :</w:t>
      </w:r>
    </w:p>
    <w:p w:rsidR="00B95D06" w:rsidRDefault="000B5368" w:rsidP="00B95D06">
      <w:pPr>
        <w:pStyle w:val="Paragraphedeliste"/>
        <w:numPr>
          <w:ilvl w:val="0"/>
          <w:numId w:val="42"/>
        </w:numPr>
        <w:spacing w:line="276" w:lineRule="auto"/>
        <w:jc w:val="both"/>
      </w:pPr>
      <w:r>
        <w:t>Office National d’Edition et de Presse (</w:t>
      </w:r>
      <w:r w:rsidRPr="00E1576D">
        <w:t>ONEP</w:t>
      </w:r>
      <w:r w:rsidR="00B95D06">
        <w:t>) ;</w:t>
      </w:r>
    </w:p>
    <w:p w:rsidR="00B95D06" w:rsidRDefault="000B5368" w:rsidP="00B95D06">
      <w:pPr>
        <w:pStyle w:val="Paragraphedeliste"/>
        <w:numPr>
          <w:ilvl w:val="0"/>
          <w:numId w:val="42"/>
        </w:numPr>
        <w:spacing w:line="276" w:lineRule="auto"/>
        <w:jc w:val="both"/>
      </w:pPr>
      <w:r>
        <w:t>Ministère de l’Equipement /</w:t>
      </w:r>
      <w:r w:rsidRPr="00E1576D">
        <w:t>CAFER</w:t>
      </w:r>
      <w:r w:rsidR="00B95D06">
        <w:t> ;</w:t>
      </w:r>
    </w:p>
    <w:p w:rsidR="00B95D06" w:rsidRDefault="000B5368" w:rsidP="00B95D06">
      <w:pPr>
        <w:pStyle w:val="Paragraphedeliste"/>
        <w:numPr>
          <w:ilvl w:val="0"/>
          <w:numId w:val="42"/>
        </w:numPr>
        <w:spacing w:line="276" w:lineRule="auto"/>
        <w:jc w:val="both"/>
      </w:pPr>
      <w:r>
        <w:t>Cellule de Crise Alimentaire (</w:t>
      </w:r>
      <w:r w:rsidRPr="00E1576D">
        <w:t>CCA</w:t>
      </w:r>
      <w:r>
        <w:t>)</w:t>
      </w:r>
      <w:r w:rsidR="00B95D06">
        <w:t> ;</w:t>
      </w:r>
    </w:p>
    <w:p w:rsidR="000B5368" w:rsidRDefault="000B5368" w:rsidP="00B95D06">
      <w:pPr>
        <w:pStyle w:val="Paragraphedeliste"/>
        <w:numPr>
          <w:ilvl w:val="0"/>
          <w:numId w:val="42"/>
        </w:numPr>
        <w:spacing w:line="276" w:lineRule="auto"/>
        <w:jc w:val="both"/>
      </w:pPr>
      <w:r>
        <w:t>Cellule de Coordination Humanitaire (</w:t>
      </w:r>
      <w:r w:rsidRPr="00E1576D">
        <w:t>CCH</w:t>
      </w:r>
      <w:r w:rsidR="00B95D06">
        <w:t>)</w:t>
      </w:r>
    </w:p>
    <w:p w:rsidR="004F23B7" w:rsidRPr="00F56AB4" w:rsidRDefault="004F23B7" w:rsidP="004F23B7">
      <w:pPr>
        <w:pStyle w:val="Paragraphedeliste"/>
        <w:numPr>
          <w:ilvl w:val="0"/>
          <w:numId w:val="42"/>
        </w:numPr>
        <w:spacing w:line="276" w:lineRule="auto"/>
        <w:jc w:val="both"/>
      </w:pPr>
      <w:r w:rsidRPr="00165CDE">
        <w:rPr>
          <w:bCs/>
        </w:rPr>
        <w:lastRenderedPageBreak/>
        <w:t>Centrale d'Approvisionnement en Intrants et Matériels Agricoles (CAIMA),</w:t>
      </w:r>
    </w:p>
    <w:p w:rsidR="00F56AB4" w:rsidRPr="00165CDE" w:rsidRDefault="00F56AB4" w:rsidP="00F56AB4">
      <w:pPr>
        <w:pStyle w:val="Paragraphedeliste"/>
        <w:spacing w:line="276" w:lineRule="auto"/>
        <w:jc w:val="both"/>
      </w:pPr>
    </w:p>
    <w:p w:rsidR="004F23B7" w:rsidRDefault="004F23B7" w:rsidP="004F23B7">
      <w:pPr>
        <w:spacing w:line="276" w:lineRule="auto"/>
        <w:ind w:left="360"/>
        <w:jc w:val="both"/>
      </w:pPr>
    </w:p>
    <w:p w:rsidR="004F23B7" w:rsidRDefault="004F23B7" w:rsidP="004F23B7">
      <w:pPr>
        <w:spacing w:line="276" w:lineRule="auto"/>
        <w:ind w:left="360"/>
        <w:jc w:val="both"/>
      </w:pPr>
    </w:p>
    <w:p w:rsidR="00000ECC" w:rsidRDefault="00000ECC" w:rsidP="006026FE">
      <w:pPr>
        <w:spacing w:line="276" w:lineRule="auto"/>
        <w:jc w:val="both"/>
      </w:pPr>
    </w:p>
    <w:p w:rsidR="000B5368" w:rsidRPr="00025F96" w:rsidRDefault="00000ECC" w:rsidP="006026FE">
      <w:pPr>
        <w:spacing w:line="276" w:lineRule="auto"/>
        <w:jc w:val="both"/>
        <w:rPr>
          <w:b/>
        </w:rPr>
      </w:pPr>
      <w:r>
        <w:rPr>
          <w:b/>
        </w:rPr>
        <w:t xml:space="preserve">5.1.3.9 </w:t>
      </w:r>
      <w:r w:rsidR="000B5368" w:rsidRPr="00025F96">
        <w:rPr>
          <w:b/>
        </w:rPr>
        <w:t xml:space="preserve">Analyse  comparative de l’utilisation de méthodes </w:t>
      </w:r>
      <w:r w:rsidR="000B5368">
        <w:rPr>
          <w:b/>
        </w:rPr>
        <w:t xml:space="preserve">peu </w:t>
      </w:r>
      <w:r w:rsidR="000B5368" w:rsidRPr="00025F96">
        <w:rPr>
          <w:b/>
        </w:rPr>
        <w:t xml:space="preserve"> ou </w:t>
      </w:r>
      <w:r w:rsidR="000B5368">
        <w:rPr>
          <w:b/>
        </w:rPr>
        <w:t>non</w:t>
      </w:r>
      <w:r w:rsidR="000B5368" w:rsidRPr="00025F96">
        <w:rPr>
          <w:b/>
        </w:rPr>
        <w:t xml:space="preserve"> compétitives</w:t>
      </w:r>
      <w:r w:rsidR="007D068E">
        <w:rPr>
          <w:b/>
        </w:rPr>
        <w:t xml:space="preserve"> (1/9)</w:t>
      </w:r>
    </w:p>
    <w:p w:rsidR="000B5368" w:rsidRDefault="000B5368" w:rsidP="006026FE">
      <w:pPr>
        <w:spacing w:line="276" w:lineRule="auto"/>
        <w:jc w:val="both"/>
      </w:pPr>
      <w:r w:rsidRPr="00025F96">
        <w:t xml:space="preserve">L’analyse comparative de l’utilisation des méthodes met en </w:t>
      </w:r>
      <w:r>
        <w:t xml:space="preserve">évidence l’utilisation des </w:t>
      </w:r>
      <w:r w:rsidRPr="00025F96">
        <w:t xml:space="preserve">méthodes de passation </w:t>
      </w:r>
      <w:r>
        <w:t xml:space="preserve">compétitives </w:t>
      </w:r>
      <w:r w:rsidR="007D068E">
        <w:t xml:space="preserve"> conformément à la norme UEMOA </w:t>
      </w:r>
      <w:r>
        <w:t>par</w:t>
      </w:r>
      <w:r w:rsidR="007D068E">
        <w:t xml:space="preserve"> une seule Autorité Contractante :</w:t>
      </w:r>
      <w:r>
        <w:t xml:space="preserve"> le Ministère de l’Equipement/CAFER.</w:t>
      </w:r>
    </w:p>
    <w:p w:rsidR="00B95D06" w:rsidRDefault="00B95D06" w:rsidP="006026FE">
      <w:pPr>
        <w:spacing w:line="276" w:lineRule="auto"/>
        <w:jc w:val="both"/>
      </w:pPr>
    </w:p>
    <w:p w:rsidR="007D068E" w:rsidRPr="00025F96" w:rsidRDefault="007D068E" w:rsidP="006026FE">
      <w:pPr>
        <w:spacing w:line="276" w:lineRule="auto"/>
        <w:jc w:val="both"/>
      </w:pPr>
    </w:p>
    <w:tbl>
      <w:tblPr>
        <w:tblW w:w="815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3"/>
        <w:gridCol w:w="992"/>
        <w:gridCol w:w="1559"/>
        <w:gridCol w:w="2910"/>
      </w:tblGrid>
      <w:tr w:rsidR="000B5368" w:rsidRPr="00DE7975" w:rsidTr="004938B9">
        <w:trPr>
          <w:trHeight w:val="334"/>
        </w:trPr>
        <w:tc>
          <w:tcPr>
            <w:tcW w:w="2693" w:type="dxa"/>
            <w:shd w:val="clear" w:color="auto" w:fill="auto"/>
            <w:noWrap/>
            <w:vAlign w:val="center"/>
            <w:hideMark/>
          </w:tcPr>
          <w:p w:rsidR="000B5368" w:rsidRPr="00DE7975" w:rsidRDefault="000B5368" w:rsidP="006026FE">
            <w:pPr>
              <w:spacing w:line="276" w:lineRule="auto"/>
              <w:jc w:val="both"/>
              <w:rPr>
                <w:b/>
                <w:bCs/>
              </w:rPr>
            </w:pPr>
            <w:r w:rsidRPr="00DE7975">
              <w:rPr>
                <w:b/>
                <w:bCs/>
              </w:rPr>
              <w:t>Mode de passation</w:t>
            </w:r>
          </w:p>
        </w:tc>
        <w:tc>
          <w:tcPr>
            <w:tcW w:w="992" w:type="dxa"/>
            <w:shd w:val="clear" w:color="auto" w:fill="auto"/>
            <w:noWrap/>
            <w:vAlign w:val="center"/>
            <w:hideMark/>
          </w:tcPr>
          <w:p w:rsidR="000B5368" w:rsidRPr="00DE7975" w:rsidRDefault="000B5368" w:rsidP="006026FE">
            <w:pPr>
              <w:spacing w:line="276" w:lineRule="auto"/>
              <w:jc w:val="both"/>
              <w:rPr>
                <w:b/>
                <w:bCs/>
              </w:rPr>
            </w:pPr>
            <w:r w:rsidRPr="00DE7975">
              <w:rPr>
                <w:b/>
                <w:bCs/>
              </w:rPr>
              <w:t>Nombre</w:t>
            </w:r>
          </w:p>
        </w:tc>
        <w:tc>
          <w:tcPr>
            <w:tcW w:w="1559" w:type="dxa"/>
            <w:shd w:val="clear" w:color="auto" w:fill="auto"/>
            <w:vAlign w:val="center"/>
            <w:hideMark/>
          </w:tcPr>
          <w:p w:rsidR="000B5368" w:rsidRPr="00DE7975" w:rsidRDefault="000B5368" w:rsidP="006026FE">
            <w:pPr>
              <w:spacing w:line="276" w:lineRule="auto"/>
              <w:jc w:val="both"/>
              <w:rPr>
                <w:b/>
                <w:bCs/>
              </w:rPr>
            </w:pPr>
            <w:r w:rsidRPr="00DE7975">
              <w:rPr>
                <w:b/>
                <w:bCs/>
              </w:rPr>
              <w:t>Pourcentage en nombre</w:t>
            </w:r>
          </w:p>
        </w:tc>
        <w:tc>
          <w:tcPr>
            <w:tcW w:w="2910" w:type="dxa"/>
            <w:vAlign w:val="center"/>
          </w:tcPr>
          <w:p w:rsidR="000B5368" w:rsidRPr="00DE7975" w:rsidRDefault="000B5368" w:rsidP="006026FE">
            <w:pPr>
              <w:spacing w:line="276" w:lineRule="auto"/>
              <w:jc w:val="both"/>
              <w:rPr>
                <w:b/>
                <w:bCs/>
              </w:rPr>
            </w:pPr>
            <w:r w:rsidRPr="00DE7975">
              <w:rPr>
                <w:b/>
                <w:bCs/>
              </w:rPr>
              <w:t>Normes UEMOA</w:t>
            </w:r>
          </w:p>
        </w:tc>
      </w:tr>
      <w:tr w:rsidR="000B5368" w:rsidRPr="00DE7975" w:rsidTr="004938B9">
        <w:trPr>
          <w:trHeight w:val="174"/>
        </w:trPr>
        <w:tc>
          <w:tcPr>
            <w:tcW w:w="2693" w:type="dxa"/>
            <w:shd w:val="clear" w:color="auto" w:fill="auto"/>
            <w:hideMark/>
          </w:tcPr>
          <w:p w:rsidR="000B5368" w:rsidRPr="00DE7975" w:rsidRDefault="000B5368" w:rsidP="006026FE">
            <w:pPr>
              <w:spacing w:line="276" w:lineRule="auto"/>
              <w:jc w:val="both"/>
            </w:pPr>
            <w:r w:rsidRPr="00DE7975">
              <w:t>Appel d'Offres Ouvert</w:t>
            </w:r>
          </w:p>
        </w:tc>
        <w:tc>
          <w:tcPr>
            <w:tcW w:w="992" w:type="dxa"/>
            <w:shd w:val="clear" w:color="auto" w:fill="auto"/>
            <w:noWrap/>
            <w:vAlign w:val="center"/>
            <w:hideMark/>
          </w:tcPr>
          <w:p w:rsidR="000B5368" w:rsidRPr="00DE7975" w:rsidRDefault="000B5368" w:rsidP="00EC4335">
            <w:pPr>
              <w:spacing w:line="276" w:lineRule="auto"/>
              <w:jc w:val="center"/>
            </w:pPr>
            <w:r w:rsidRPr="00DE7975">
              <w:t>21</w:t>
            </w:r>
          </w:p>
        </w:tc>
        <w:tc>
          <w:tcPr>
            <w:tcW w:w="1559" w:type="dxa"/>
            <w:shd w:val="clear" w:color="auto" w:fill="auto"/>
            <w:noWrap/>
            <w:vAlign w:val="center"/>
            <w:hideMark/>
          </w:tcPr>
          <w:p w:rsidR="000B5368" w:rsidRPr="00DE7975" w:rsidRDefault="000B5368" w:rsidP="00EC4335">
            <w:pPr>
              <w:spacing w:line="276" w:lineRule="auto"/>
              <w:jc w:val="center"/>
            </w:pPr>
            <w:r w:rsidRPr="00DE7975">
              <w:t>91,30%</w:t>
            </w:r>
          </w:p>
        </w:tc>
        <w:tc>
          <w:tcPr>
            <w:tcW w:w="2910" w:type="dxa"/>
            <w:vAlign w:val="center"/>
          </w:tcPr>
          <w:p w:rsidR="000B5368" w:rsidRPr="00DE7975" w:rsidRDefault="000B5368" w:rsidP="00EC4335">
            <w:pPr>
              <w:spacing w:line="276" w:lineRule="auto"/>
              <w:jc w:val="center"/>
            </w:pPr>
            <w:r w:rsidRPr="00DE7975">
              <w:t>90%</w:t>
            </w:r>
          </w:p>
        </w:tc>
      </w:tr>
      <w:tr w:rsidR="000B5368" w:rsidRPr="00DE7975" w:rsidTr="004938B9">
        <w:trPr>
          <w:trHeight w:val="79"/>
        </w:trPr>
        <w:tc>
          <w:tcPr>
            <w:tcW w:w="2693" w:type="dxa"/>
            <w:shd w:val="clear" w:color="auto" w:fill="auto"/>
            <w:hideMark/>
          </w:tcPr>
          <w:p w:rsidR="000B5368" w:rsidRPr="00DE7975" w:rsidRDefault="000B5368" w:rsidP="006026FE">
            <w:pPr>
              <w:spacing w:line="276" w:lineRule="auto"/>
              <w:jc w:val="both"/>
            </w:pPr>
            <w:r w:rsidRPr="00DE7975">
              <w:t>Appel d'Offres Restreint</w:t>
            </w:r>
          </w:p>
        </w:tc>
        <w:tc>
          <w:tcPr>
            <w:tcW w:w="992" w:type="dxa"/>
            <w:shd w:val="clear" w:color="auto" w:fill="auto"/>
            <w:noWrap/>
            <w:vAlign w:val="center"/>
          </w:tcPr>
          <w:p w:rsidR="000B5368" w:rsidRPr="00DE7975" w:rsidRDefault="000B5368" w:rsidP="00EC4335">
            <w:pPr>
              <w:spacing w:line="276" w:lineRule="auto"/>
              <w:jc w:val="center"/>
            </w:pPr>
            <w:r w:rsidRPr="00DE7975">
              <w:t>0</w:t>
            </w:r>
          </w:p>
        </w:tc>
        <w:tc>
          <w:tcPr>
            <w:tcW w:w="1559" w:type="dxa"/>
            <w:shd w:val="clear" w:color="auto" w:fill="auto"/>
            <w:noWrap/>
            <w:vAlign w:val="center"/>
          </w:tcPr>
          <w:p w:rsidR="000B5368" w:rsidRPr="00DE7975" w:rsidRDefault="000B5368" w:rsidP="00EC4335">
            <w:pPr>
              <w:spacing w:line="276" w:lineRule="auto"/>
              <w:jc w:val="center"/>
            </w:pPr>
            <w:r w:rsidRPr="00DE7975">
              <w:t>0%</w:t>
            </w:r>
          </w:p>
        </w:tc>
        <w:tc>
          <w:tcPr>
            <w:tcW w:w="2910" w:type="dxa"/>
            <w:vAlign w:val="center"/>
          </w:tcPr>
          <w:p w:rsidR="000B5368" w:rsidRPr="00DE7975" w:rsidRDefault="000B5368" w:rsidP="00EC4335">
            <w:pPr>
              <w:spacing w:line="276" w:lineRule="auto"/>
              <w:jc w:val="center"/>
            </w:pPr>
            <w:r w:rsidRPr="00DE7975">
              <w:t>5%</w:t>
            </w:r>
          </w:p>
        </w:tc>
      </w:tr>
      <w:tr w:rsidR="000B5368" w:rsidRPr="00DE7975" w:rsidTr="004938B9">
        <w:trPr>
          <w:trHeight w:val="336"/>
        </w:trPr>
        <w:tc>
          <w:tcPr>
            <w:tcW w:w="2693" w:type="dxa"/>
            <w:shd w:val="clear" w:color="auto" w:fill="auto"/>
            <w:hideMark/>
          </w:tcPr>
          <w:p w:rsidR="000B5368" w:rsidRPr="00DE7975" w:rsidRDefault="000B5368" w:rsidP="006026FE">
            <w:pPr>
              <w:spacing w:line="276" w:lineRule="auto"/>
              <w:jc w:val="both"/>
            </w:pPr>
            <w:r w:rsidRPr="00DE7975">
              <w:t>Entente directe</w:t>
            </w:r>
          </w:p>
        </w:tc>
        <w:tc>
          <w:tcPr>
            <w:tcW w:w="992" w:type="dxa"/>
            <w:shd w:val="clear" w:color="auto" w:fill="auto"/>
            <w:noWrap/>
            <w:vAlign w:val="center"/>
            <w:hideMark/>
          </w:tcPr>
          <w:p w:rsidR="000B5368" w:rsidRPr="00DE7975" w:rsidRDefault="000B5368" w:rsidP="00EC4335">
            <w:pPr>
              <w:spacing w:line="276" w:lineRule="auto"/>
              <w:jc w:val="center"/>
            </w:pPr>
            <w:r w:rsidRPr="00DE7975">
              <w:t>0</w:t>
            </w:r>
          </w:p>
        </w:tc>
        <w:tc>
          <w:tcPr>
            <w:tcW w:w="1559" w:type="dxa"/>
            <w:shd w:val="clear" w:color="auto" w:fill="auto"/>
            <w:noWrap/>
            <w:vAlign w:val="center"/>
          </w:tcPr>
          <w:p w:rsidR="000B5368" w:rsidRPr="00DE7975" w:rsidRDefault="000B5368" w:rsidP="00EC4335">
            <w:pPr>
              <w:spacing w:line="276" w:lineRule="auto"/>
              <w:jc w:val="center"/>
            </w:pPr>
            <w:r w:rsidRPr="00DE7975">
              <w:t>0%</w:t>
            </w:r>
          </w:p>
        </w:tc>
        <w:tc>
          <w:tcPr>
            <w:tcW w:w="2910" w:type="dxa"/>
            <w:vAlign w:val="center"/>
          </w:tcPr>
          <w:p w:rsidR="000B5368" w:rsidRPr="00DE7975" w:rsidRDefault="000B5368" w:rsidP="00EC4335">
            <w:pPr>
              <w:spacing w:line="276" w:lineRule="auto"/>
              <w:jc w:val="center"/>
            </w:pPr>
            <w:r w:rsidRPr="00DE7975">
              <w:t>5%</w:t>
            </w:r>
          </w:p>
        </w:tc>
      </w:tr>
      <w:tr w:rsidR="000B5368" w:rsidRPr="00DE7975" w:rsidTr="004938B9">
        <w:trPr>
          <w:trHeight w:val="336"/>
        </w:trPr>
        <w:tc>
          <w:tcPr>
            <w:tcW w:w="2693" w:type="dxa"/>
            <w:shd w:val="clear" w:color="auto" w:fill="auto"/>
          </w:tcPr>
          <w:p w:rsidR="000B5368" w:rsidRPr="00DE7975" w:rsidRDefault="000B5368" w:rsidP="006026FE">
            <w:pPr>
              <w:spacing w:line="276" w:lineRule="auto"/>
              <w:jc w:val="both"/>
            </w:pPr>
            <w:r w:rsidRPr="00DE7975">
              <w:t>Achat sur simple facture</w:t>
            </w:r>
          </w:p>
        </w:tc>
        <w:tc>
          <w:tcPr>
            <w:tcW w:w="992" w:type="dxa"/>
            <w:shd w:val="clear" w:color="auto" w:fill="auto"/>
            <w:noWrap/>
            <w:vAlign w:val="center"/>
          </w:tcPr>
          <w:p w:rsidR="000B5368" w:rsidRPr="00DE7975" w:rsidRDefault="000B5368" w:rsidP="00EC4335">
            <w:pPr>
              <w:spacing w:line="276" w:lineRule="auto"/>
              <w:jc w:val="center"/>
            </w:pPr>
            <w:r w:rsidRPr="00DE7975">
              <w:t>2</w:t>
            </w:r>
          </w:p>
        </w:tc>
        <w:tc>
          <w:tcPr>
            <w:tcW w:w="1559" w:type="dxa"/>
            <w:shd w:val="clear" w:color="auto" w:fill="auto"/>
            <w:noWrap/>
            <w:vAlign w:val="center"/>
          </w:tcPr>
          <w:p w:rsidR="000B5368" w:rsidRPr="00DE7975" w:rsidRDefault="000B5368" w:rsidP="00EC4335">
            <w:pPr>
              <w:spacing w:line="276" w:lineRule="auto"/>
              <w:jc w:val="center"/>
            </w:pPr>
            <w:r w:rsidRPr="00DE7975">
              <w:t>8,70%</w:t>
            </w:r>
          </w:p>
        </w:tc>
        <w:tc>
          <w:tcPr>
            <w:tcW w:w="2910" w:type="dxa"/>
            <w:vAlign w:val="center"/>
          </w:tcPr>
          <w:p w:rsidR="000B5368" w:rsidRPr="00DE7975" w:rsidRDefault="000B5368" w:rsidP="00EC4335">
            <w:pPr>
              <w:spacing w:line="276" w:lineRule="auto"/>
              <w:jc w:val="center"/>
            </w:pPr>
            <w:r w:rsidRPr="00DE7975">
              <w:t>Pas de norme communautaire prévue</w:t>
            </w:r>
          </w:p>
        </w:tc>
      </w:tr>
      <w:tr w:rsidR="000B5368" w:rsidRPr="00DE7975" w:rsidTr="004938B9">
        <w:trPr>
          <w:trHeight w:val="296"/>
        </w:trPr>
        <w:tc>
          <w:tcPr>
            <w:tcW w:w="2693" w:type="dxa"/>
            <w:shd w:val="clear" w:color="auto" w:fill="auto"/>
            <w:noWrap/>
            <w:hideMark/>
          </w:tcPr>
          <w:p w:rsidR="000B5368" w:rsidRPr="00DE7975" w:rsidRDefault="000B5368" w:rsidP="006026FE">
            <w:pPr>
              <w:spacing w:line="276" w:lineRule="auto"/>
              <w:jc w:val="both"/>
              <w:rPr>
                <w:b/>
                <w:bCs/>
              </w:rPr>
            </w:pPr>
            <w:r w:rsidRPr="00DE7975">
              <w:rPr>
                <w:b/>
                <w:bCs/>
              </w:rPr>
              <w:t>TOTAL</w:t>
            </w:r>
          </w:p>
        </w:tc>
        <w:tc>
          <w:tcPr>
            <w:tcW w:w="992" w:type="dxa"/>
            <w:shd w:val="clear" w:color="auto" w:fill="auto"/>
            <w:noWrap/>
            <w:vAlign w:val="center"/>
            <w:hideMark/>
          </w:tcPr>
          <w:p w:rsidR="000B5368" w:rsidRPr="00DE7975" w:rsidRDefault="000B5368" w:rsidP="00EC4335">
            <w:pPr>
              <w:spacing w:line="276" w:lineRule="auto"/>
              <w:jc w:val="center"/>
              <w:rPr>
                <w:b/>
                <w:bCs/>
              </w:rPr>
            </w:pPr>
            <w:r w:rsidRPr="00DE7975">
              <w:rPr>
                <w:b/>
                <w:bCs/>
              </w:rPr>
              <w:t>23</w:t>
            </w:r>
          </w:p>
        </w:tc>
        <w:tc>
          <w:tcPr>
            <w:tcW w:w="1559" w:type="dxa"/>
            <w:shd w:val="clear" w:color="auto" w:fill="auto"/>
            <w:noWrap/>
            <w:vAlign w:val="center"/>
            <w:hideMark/>
          </w:tcPr>
          <w:p w:rsidR="000B5368" w:rsidRPr="00DE7975" w:rsidRDefault="000B5368" w:rsidP="00EC4335">
            <w:pPr>
              <w:spacing w:line="276" w:lineRule="auto"/>
              <w:jc w:val="center"/>
              <w:rPr>
                <w:b/>
              </w:rPr>
            </w:pPr>
            <w:r w:rsidRPr="00DE7975">
              <w:rPr>
                <w:b/>
              </w:rPr>
              <w:t>100%</w:t>
            </w:r>
          </w:p>
        </w:tc>
        <w:tc>
          <w:tcPr>
            <w:tcW w:w="2910" w:type="dxa"/>
            <w:vAlign w:val="center"/>
          </w:tcPr>
          <w:p w:rsidR="000B5368" w:rsidRPr="00DE7975" w:rsidRDefault="000B5368" w:rsidP="00EC4335">
            <w:pPr>
              <w:spacing w:line="276" w:lineRule="auto"/>
              <w:jc w:val="center"/>
              <w:rPr>
                <w:b/>
                <w:bCs/>
              </w:rPr>
            </w:pPr>
            <w:r w:rsidRPr="00DE7975">
              <w:rPr>
                <w:b/>
                <w:bCs/>
              </w:rPr>
              <w:t>100%</w:t>
            </w:r>
          </w:p>
        </w:tc>
      </w:tr>
    </w:tbl>
    <w:p w:rsidR="000B5368" w:rsidRDefault="000B5368" w:rsidP="006026FE">
      <w:pPr>
        <w:spacing w:line="276" w:lineRule="auto"/>
        <w:jc w:val="both"/>
      </w:pPr>
    </w:p>
    <w:p w:rsidR="007D068E" w:rsidRDefault="007D068E" w:rsidP="006026FE">
      <w:pPr>
        <w:spacing w:line="276" w:lineRule="auto"/>
        <w:jc w:val="both"/>
        <w:rPr>
          <w:b/>
        </w:rPr>
      </w:pPr>
    </w:p>
    <w:p w:rsidR="000B5368" w:rsidRDefault="00000ECC" w:rsidP="006026FE">
      <w:pPr>
        <w:spacing w:line="276" w:lineRule="auto"/>
        <w:jc w:val="both"/>
        <w:rPr>
          <w:b/>
        </w:rPr>
      </w:pPr>
      <w:r>
        <w:rPr>
          <w:b/>
        </w:rPr>
        <w:t xml:space="preserve">5.1.3.10 </w:t>
      </w:r>
      <w:r w:rsidR="000B5368" w:rsidRPr="001C2EE2">
        <w:rPr>
          <w:b/>
        </w:rPr>
        <w:t xml:space="preserve"> Respect des délais de dépôt des offres des candidats</w:t>
      </w:r>
      <w:r w:rsidR="007D068E">
        <w:rPr>
          <w:b/>
        </w:rPr>
        <w:tab/>
      </w:r>
      <w:r w:rsidR="007D068E">
        <w:rPr>
          <w:b/>
        </w:rPr>
        <w:tab/>
      </w:r>
      <w:r w:rsidR="007D068E">
        <w:rPr>
          <w:b/>
        </w:rPr>
        <w:tab/>
      </w:r>
      <w:r w:rsidR="007D068E">
        <w:rPr>
          <w:b/>
        </w:rPr>
        <w:tab/>
      </w:r>
      <w:r w:rsidR="000B5368">
        <w:rPr>
          <w:b/>
        </w:rPr>
        <w:t>(9/9)</w:t>
      </w:r>
    </w:p>
    <w:p w:rsidR="00000ECC" w:rsidRDefault="000B5368" w:rsidP="006026FE">
      <w:pPr>
        <w:spacing w:line="276" w:lineRule="auto"/>
        <w:jc w:val="both"/>
      </w:pPr>
      <w:r w:rsidRPr="00DD4B6D">
        <w:t xml:space="preserve">Les délais des dépôts des offres des candidats  ont été respectés par </w:t>
      </w:r>
      <w:r w:rsidR="00B95D06">
        <w:t>toutes les  Autorités Contractantes.</w:t>
      </w:r>
    </w:p>
    <w:p w:rsidR="00B95D06" w:rsidRDefault="00B95D06" w:rsidP="006026FE">
      <w:pPr>
        <w:spacing w:line="276" w:lineRule="auto"/>
        <w:jc w:val="both"/>
      </w:pPr>
    </w:p>
    <w:p w:rsidR="000B5368" w:rsidRPr="001C2EE2" w:rsidRDefault="00000ECC" w:rsidP="006026FE">
      <w:pPr>
        <w:spacing w:line="276" w:lineRule="auto"/>
        <w:jc w:val="both"/>
        <w:rPr>
          <w:b/>
        </w:rPr>
      </w:pPr>
      <w:r>
        <w:rPr>
          <w:b/>
        </w:rPr>
        <w:t xml:space="preserve">5.1.3.11 </w:t>
      </w:r>
      <w:r w:rsidR="000B5368" w:rsidRPr="001C2EE2">
        <w:rPr>
          <w:b/>
        </w:rPr>
        <w:t>Respect des règles en matière d’ouverture des offres</w:t>
      </w:r>
      <w:r w:rsidR="007D068E">
        <w:rPr>
          <w:b/>
        </w:rPr>
        <w:tab/>
      </w:r>
      <w:r w:rsidR="007D068E">
        <w:rPr>
          <w:b/>
        </w:rPr>
        <w:tab/>
      </w:r>
      <w:r w:rsidR="007D068E">
        <w:rPr>
          <w:b/>
        </w:rPr>
        <w:tab/>
      </w:r>
      <w:r w:rsidR="007D068E">
        <w:rPr>
          <w:b/>
        </w:rPr>
        <w:tab/>
      </w:r>
      <w:r w:rsidR="000B5368">
        <w:rPr>
          <w:b/>
        </w:rPr>
        <w:t>(8/9)</w:t>
      </w:r>
    </w:p>
    <w:p w:rsidR="000B5368" w:rsidRDefault="000B5368" w:rsidP="006026FE">
      <w:pPr>
        <w:spacing w:line="276" w:lineRule="auto"/>
        <w:jc w:val="both"/>
      </w:pPr>
      <w:r w:rsidRPr="001C2EE2">
        <w:t>Nos contrôles sur le respect des règles en matière d’ouverture des offres faits conformément</w:t>
      </w:r>
      <w:r w:rsidR="009E737A">
        <w:t xml:space="preserve"> </w:t>
      </w:r>
      <w:r w:rsidR="00B95D06">
        <w:t xml:space="preserve">aux dispositions de </w:t>
      </w:r>
      <w:r w:rsidRPr="001C2EE2">
        <w:t>l’arrêté n°0145/CAB/PM/ARMP du 29 Juin 2012 portant Création, Attributions, Composition-type et fonctionnement de la Commission ad' hoc d'ouverture des plis et d'évaluation des offres des Marchés Publics et des Délégations de Service Public de l'Etat</w:t>
      </w:r>
      <w:r>
        <w:t xml:space="preserve"> ont </w:t>
      </w:r>
      <w:r w:rsidRPr="001C2EE2">
        <w:t xml:space="preserve">révélé </w:t>
      </w:r>
      <w:r>
        <w:t xml:space="preserve">  que huit Autorités Contractante</w:t>
      </w:r>
      <w:r w:rsidR="00B95D06">
        <w:t>s</w:t>
      </w:r>
      <w:r>
        <w:t xml:space="preserve"> sur les ne</w:t>
      </w:r>
      <w:r w:rsidR="00B95D06">
        <w:t>uf (9) ont respectés ces règles :</w:t>
      </w:r>
    </w:p>
    <w:p w:rsidR="00B95D06" w:rsidRPr="00D313C0" w:rsidRDefault="00B95D06" w:rsidP="00B95D06">
      <w:pPr>
        <w:numPr>
          <w:ilvl w:val="0"/>
          <w:numId w:val="34"/>
        </w:numPr>
        <w:spacing w:line="276" w:lineRule="auto"/>
        <w:jc w:val="both"/>
      </w:pPr>
      <w:r w:rsidRPr="00D313C0">
        <w:rPr>
          <w:bCs/>
        </w:rPr>
        <w:t xml:space="preserve">Société Nigérienne Des Produits Pétroliers (SONIDEP), </w:t>
      </w:r>
    </w:p>
    <w:p w:rsidR="00B95D06" w:rsidRPr="00D313C0" w:rsidRDefault="00B95D06" w:rsidP="00B95D06">
      <w:pPr>
        <w:numPr>
          <w:ilvl w:val="0"/>
          <w:numId w:val="29"/>
        </w:numPr>
        <w:spacing w:line="276" w:lineRule="auto"/>
        <w:jc w:val="both"/>
      </w:pPr>
      <w:r w:rsidRPr="00D313C0">
        <w:rPr>
          <w:bCs/>
        </w:rPr>
        <w:t xml:space="preserve">Office National d'Edition et de Presse (ONEP), </w:t>
      </w:r>
    </w:p>
    <w:p w:rsidR="00B95D06" w:rsidRPr="00D313C0" w:rsidRDefault="00B95D06" w:rsidP="00B95D06">
      <w:pPr>
        <w:numPr>
          <w:ilvl w:val="0"/>
          <w:numId w:val="29"/>
        </w:numPr>
        <w:spacing w:line="276" w:lineRule="auto"/>
        <w:jc w:val="both"/>
      </w:pPr>
      <w:r w:rsidRPr="00D313C0">
        <w:rPr>
          <w:bCs/>
        </w:rPr>
        <w:t>Centrale d'Approvisionnement en Intrants et Matériels Agricoles (CAIMA),</w:t>
      </w:r>
    </w:p>
    <w:p w:rsidR="00B95D06" w:rsidRPr="00D313C0" w:rsidRDefault="00B95D06" w:rsidP="00B95D06">
      <w:pPr>
        <w:numPr>
          <w:ilvl w:val="0"/>
          <w:numId w:val="29"/>
        </w:numPr>
        <w:spacing w:line="276" w:lineRule="auto"/>
        <w:jc w:val="both"/>
      </w:pPr>
      <w:r w:rsidRPr="00D313C0">
        <w:rPr>
          <w:bCs/>
        </w:rPr>
        <w:t xml:space="preserve"> Ministère de l'Equipement/CAFER </w:t>
      </w:r>
    </w:p>
    <w:p w:rsidR="00B95D06" w:rsidRPr="00D313C0" w:rsidRDefault="00B95D06" w:rsidP="00B95D06">
      <w:pPr>
        <w:numPr>
          <w:ilvl w:val="0"/>
          <w:numId w:val="29"/>
        </w:numPr>
        <w:spacing w:line="276" w:lineRule="auto"/>
        <w:jc w:val="both"/>
      </w:pPr>
      <w:r w:rsidRPr="00D313C0">
        <w:rPr>
          <w:bCs/>
        </w:rPr>
        <w:t xml:space="preserve">Cellule de Crises Alimentaire (CCA), </w:t>
      </w:r>
    </w:p>
    <w:p w:rsidR="00B95D06" w:rsidRPr="00D313C0" w:rsidRDefault="00B95D06" w:rsidP="00B95D06">
      <w:pPr>
        <w:numPr>
          <w:ilvl w:val="0"/>
          <w:numId w:val="29"/>
        </w:numPr>
        <w:spacing w:line="276" w:lineRule="auto"/>
        <w:jc w:val="both"/>
      </w:pPr>
      <w:r w:rsidRPr="00D313C0">
        <w:rPr>
          <w:bCs/>
        </w:rPr>
        <w:t xml:space="preserve">Haut-Commissariat à l'Aménagement de la Vallée du Niger (HCAVN), </w:t>
      </w:r>
    </w:p>
    <w:p w:rsidR="00B95D06" w:rsidRPr="00D313C0" w:rsidRDefault="00B95D06" w:rsidP="00B95D06">
      <w:pPr>
        <w:numPr>
          <w:ilvl w:val="0"/>
          <w:numId w:val="29"/>
        </w:numPr>
        <w:spacing w:line="276" w:lineRule="auto"/>
        <w:jc w:val="both"/>
      </w:pPr>
      <w:r w:rsidRPr="00D313C0">
        <w:rPr>
          <w:bCs/>
        </w:rPr>
        <w:t xml:space="preserve">Cellule de Coordination Humanitaire (CCH), </w:t>
      </w:r>
    </w:p>
    <w:p w:rsidR="00B95D06" w:rsidRDefault="00B95D06" w:rsidP="00B95D06">
      <w:pPr>
        <w:pStyle w:val="Paragraphedeliste"/>
        <w:numPr>
          <w:ilvl w:val="0"/>
          <w:numId w:val="29"/>
        </w:numPr>
        <w:spacing w:line="276" w:lineRule="auto"/>
        <w:jc w:val="both"/>
        <w:rPr>
          <w:bCs/>
        </w:rPr>
      </w:pPr>
      <w:r w:rsidRPr="00D313C0">
        <w:rPr>
          <w:bCs/>
        </w:rPr>
        <w:t>Ville de Niamey</w:t>
      </w:r>
      <w:r w:rsidRPr="00B95D06">
        <w:rPr>
          <w:bCs/>
        </w:rPr>
        <w:t>.</w:t>
      </w:r>
    </w:p>
    <w:p w:rsidR="00B95D06" w:rsidRPr="00B95D06" w:rsidRDefault="00B95D06" w:rsidP="00B95D06">
      <w:pPr>
        <w:pStyle w:val="Paragraphedeliste"/>
        <w:spacing w:line="276" w:lineRule="auto"/>
        <w:ind w:left="780"/>
        <w:jc w:val="both"/>
        <w:rPr>
          <w:bCs/>
        </w:rPr>
      </w:pPr>
    </w:p>
    <w:p w:rsidR="000B5368" w:rsidRPr="00DA403A" w:rsidRDefault="00000ECC" w:rsidP="006026FE">
      <w:pPr>
        <w:spacing w:line="276" w:lineRule="auto"/>
        <w:jc w:val="both"/>
        <w:rPr>
          <w:b/>
        </w:rPr>
      </w:pPr>
      <w:r>
        <w:rPr>
          <w:b/>
        </w:rPr>
        <w:t xml:space="preserve">5.1.3.12 </w:t>
      </w:r>
      <w:r w:rsidR="000B5368" w:rsidRPr="00DA403A">
        <w:rPr>
          <w:b/>
        </w:rPr>
        <w:t>Respect des règles en matière d’évaluation</w:t>
      </w:r>
      <w:r w:rsidR="007D068E">
        <w:rPr>
          <w:b/>
        </w:rPr>
        <w:tab/>
      </w:r>
      <w:r w:rsidR="007D068E">
        <w:rPr>
          <w:b/>
        </w:rPr>
        <w:tab/>
      </w:r>
      <w:r w:rsidR="007D068E">
        <w:rPr>
          <w:b/>
        </w:rPr>
        <w:tab/>
      </w:r>
      <w:r w:rsidR="007D068E">
        <w:rPr>
          <w:b/>
        </w:rPr>
        <w:tab/>
      </w:r>
      <w:r w:rsidR="007D068E">
        <w:rPr>
          <w:b/>
        </w:rPr>
        <w:tab/>
      </w:r>
      <w:r w:rsidR="000B5368">
        <w:rPr>
          <w:b/>
        </w:rPr>
        <w:t>(9/9)</w:t>
      </w:r>
    </w:p>
    <w:p w:rsidR="000B5368" w:rsidRDefault="000B5368" w:rsidP="006026FE">
      <w:pPr>
        <w:spacing w:line="276" w:lineRule="auto"/>
        <w:jc w:val="both"/>
      </w:pPr>
      <w:r w:rsidRPr="00DA403A">
        <w:lastRenderedPageBreak/>
        <w:t>Nos contrôles sur le respect des règles en matière d’évaluation des offres conformément</w:t>
      </w:r>
      <w:r w:rsidR="00F23204">
        <w:t xml:space="preserve"> </w:t>
      </w:r>
      <w:r w:rsidR="00D313C0">
        <w:t xml:space="preserve">aux dispositions de </w:t>
      </w:r>
      <w:r w:rsidRPr="00DA403A">
        <w:t>l’arrêté n°0145/CAB/PM/ARMP du 29 Juin 2012 portant Création, Attributions, Composition-type et fonctionnement de la Commission ad' hoc d'ouverture des plis et d'évaluation des offres des Marchés Publics et des Délégations de Service Public de l'Etat</w:t>
      </w:r>
      <w:r>
        <w:t xml:space="preserve"> n’ont pas révélé d’anomalie : Les règles en matière d’évaluations ont été respectés par </w:t>
      </w:r>
      <w:r w:rsidR="007D068E">
        <w:t>l’ensemble des Autorités Contractantes de notre échantillon.</w:t>
      </w:r>
    </w:p>
    <w:p w:rsidR="007D068E" w:rsidRPr="007D068E" w:rsidRDefault="007D068E" w:rsidP="006026FE">
      <w:pPr>
        <w:spacing w:line="276" w:lineRule="auto"/>
        <w:jc w:val="both"/>
      </w:pPr>
    </w:p>
    <w:p w:rsidR="000B5368" w:rsidRPr="00DA403A" w:rsidRDefault="00000ECC" w:rsidP="006026FE">
      <w:pPr>
        <w:spacing w:line="276" w:lineRule="auto"/>
        <w:jc w:val="both"/>
        <w:rPr>
          <w:b/>
        </w:rPr>
      </w:pPr>
      <w:r>
        <w:rPr>
          <w:b/>
        </w:rPr>
        <w:t>5.1.3.13</w:t>
      </w:r>
      <w:r w:rsidR="000B5368" w:rsidRPr="00DA403A">
        <w:rPr>
          <w:b/>
        </w:rPr>
        <w:t xml:space="preserve"> Respect des règles d’établissement des procès-verbaux d’attribution des marchés</w:t>
      </w:r>
      <w:r w:rsidR="000B5368">
        <w:rPr>
          <w:b/>
        </w:rPr>
        <w:t xml:space="preserve"> (8/9)</w:t>
      </w:r>
    </w:p>
    <w:p w:rsidR="00000ECC" w:rsidRDefault="000B5368" w:rsidP="006026FE">
      <w:pPr>
        <w:spacing w:line="276" w:lineRule="auto"/>
        <w:jc w:val="both"/>
      </w:pPr>
      <w:r w:rsidRPr="00DA403A">
        <w:t>Nos contrôles sur le respect des règles en matière d’établissement des procès-verbaux d’attribution des marché</w:t>
      </w:r>
      <w:r w:rsidRPr="00DA403A">
        <w:rPr>
          <w:b/>
        </w:rPr>
        <w:t>s</w:t>
      </w:r>
      <w:r w:rsidRPr="00DA403A">
        <w:t xml:space="preserve"> faits conformément</w:t>
      </w:r>
      <w:r w:rsidR="00523945">
        <w:t xml:space="preserve"> </w:t>
      </w:r>
      <w:r w:rsidR="00D313C0" w:rsidRPr="00D313C0">
        <w:t>aux dispositions</w:t>
      </w:r>
      <w:r w:rsidR="00523945">
        <w:t xml:space="preserve"> </w:t>
      </w:r>
      <w:r w:rsidR="00D313C0" w:rsidRPr="00D313C0">
        <w:t>de</w:t>
      </w:r>
      <w:r w:rsidRPr="00DA403A">
        <w:t xml:space="preserve"> l</w:t>
      </w:r>
      <w:r w:rsidRPr="00DA403A">
        <w:rPr>
          <w:b/>
        </w:rPr>
        <w:t>’</w:t>
      </w:r>
      <w:r w:rsidRPr="00DA403A">
        <w:t>arrêté n°0145/CAB/PM/ARMP du 29 Juin 2012 portant Création, Attributions, Composition-type et fonctionnement de la Commission ad' hoc d'ouverture des plis et d'évaluation des offres des Marchés Publics et des Délégations de Service Public de l'Etat</w:t>
      </w:r>
      <w:r>
        <w:t xml:space="preserve"> ont</w:t>
      </w:r>
      <w:r w:rsidR="00D313C0">
        <w:t xml:space="preserve"> été</w:t>
      </w:r>
      <w:r w:rsidR="004D30BF">
        <w:t xml:space="preserve"> </w:t>
      </w:r>
      <w:r w:rsidR="00D313C0">
        <w:t>respectés au niveau de huit (8) autorités contractantes :</w:t>
      </w:r>
    </w:p>
    <w:p w:rsidR="00D313C0" w:rsidRPr="00D313C0" w:rsidRDefault="00D313C0" w:rsidP="00D313C0">
      <w:pPr>
        <w:numPr>
          <w:ilvl w:val="0"/>
          <w:numId w:val="34"/>
        </w:numPr>
        <w:spacing w:line="276" w:lineRule="auto"/>
        <w:jc w:val="both"/>
      </w:pPr>
      <w:r>
        <w:rPr>
          <w:bCs/>
        </w:rPr>
        <w:t>Direction Régionale de l’Hydraulique et de l’Assainissement de Tillabéri (DRHA/Ti) ;</w:t>
      </w:r>
    </w:p>
    <w:p w:rsidR="00D313C0" w:rsidRPr="00D313C0" w:rsidRDefault="00D313C0" w:rsidP="00D313C0">
      <w:pPr>
        <w:numPr>
          <w:ilvl w:val="0"/>
          <w:numId w:val="29"/>
        </w:numPr>
        <w:spacing w:line="276" w:lineRule="auto"/>
        <w:jc w:val="both"/>
      </w:pPr>
      <w:r w:rsidRPr="00D313C0">
        <w:rPr>
          <w:bCs/>
        </w:rPr>
        <w:t>Office Nationa</w:t>
      </w:r>
      <w:r>
        <w:rPr>
          <w:bCs/>
        </w:rPr>
        <w:t>l d'Edition et de Presse (ONEP) ;</w:t>
      </w:r>
    </w:p>
    <w:p w:rsidR="00D313C0" w:rsidRPr="00D313C0" w:rsidRDefault="00D313C0" w:rsidP="00D313C0">
      <w:pPr>
        <w:numPr>
          <w:ilvl w:val="0"/>
          <w:numId w:val="29"/>
        </w:numPr>
        <w:spacing w:line="276" w:lineRule="auto"/>
        <w:jc w:val="both"/>
      </w:pPr>
      <w:r w:rsidRPr="00D313C0">
        <w:rPr>
          <w:bCs/>
        </w:rPr>
        <w:t>Centrale d'Approvisionnement en Intrants</w:t>
      </w:r>
      <w:r>
        <w:rPr>
          <w:bCs/>
        </w:rPr>
        <w:t xml:space="preserve"> et Matériels Agricoles (CAIMA) ;</w:t>
      </w:r>
    </w:p>
    <w:p w:rsidR="00D313C0" w:rsidRPr="00D313C0" w:rsidRDefault="00D313C0" w:rsidP="00D313C0">
      <w:pPr>
        <w:numPr>
          <w:ilvl w:val="0"/>
          <w:numId w:val="29"/>
        </w:numPr>
        <w:spacing w:line="276" w:lineRule="auto"/>
        <w:jc w:val="both"/>
      </w:pPr>
      <w:r w:rsidRPr="00D313C0">
        <w:rPr>
          <w:bCs/>
        </w:rPr>
        <w:t xml:space="preserve"> Ministère de l'Equipement/CAFER</w:t>
      </w:r>
      <w:r>
        <w:rPr>
          <w:bCs/>
        </w:rPr>
        <w:t> ;</w:t>
      </w:r>
    </w:p>
    <w:p w:rsidR="00D313C0" w:rsidRPr="00D313C0" w:rsidRDefault="00D313C0" w:rsidP="00D313C0">
      <w:pPr>
        <w:numPr>
          <w:ilvl w:val="0"/>
          <w:numId w:val="29"/>
        </w:numPr>
        <w:spacing w:line="276" w:lineRule="auto"/>
        <w:jc w:val="both"/>
      </w:pPr>
      <w:r w:rsidRPr="00D313C0">
        <w:rPr>
          <w:bCs/>
        </w:rPr>
        <w:t>Cell</w:t>
      </w:r>
      <w:r>
        <w:rPr>
          <w:bCs/>
        </w:rPr>
        <w:t>ule de Crises Alimentaire (CCA) ;</w:t>
      </w:r>
    </w:p>
    <w:p w:rsidR="00D313C0" w:rsidRPr="00D313C0" w:rsidRDefault="00D313C0" w:rsidP="00D313C0">
      <w:pPr>
        <w:numPr>
          <w:ilvl w:val="0"/>
          <w:numId w:val="29"/>
        </w:numPr>
        <w:spacing w:line="276" w:lineRule="auto"/>
        <w:jc w:val="both"/>
      </w:pPr>
      <w:r w:rsidRPr="00D313C0">
        <w:rPr>
          <w:bCs/>
        </w:rPr>
        <w:t>Haut-Commissariat à l'Aménagement</w:t>
      </w:r>
      <w:r>
        <w:rPr>
          <w:bCs/>
        </w:rPr>
        <w:t xml:space="preserve"> de la Vallée du Niger (HCAVN) ;</w:t>
      </w:r>
    </w:p>
    <w:p w:rsidR="00D313C0" w:rsidRPr="00D313C0" w:rsidRDefault="00D313C0" w:rsidP="00D313C0">
      <w:pPr>
        <w:numPr>
          <w:ilvl w:val="0"/>
          <w:numId w:val="29"/>
        </w:numPr>
        <w:spacing w:line="276" w:lineRule="auto"/>
        <w:jc w:val="both"/>
      </w:pPr>
      <w:r w:rsidRPr="00D313C0">
        <w:rPr>
          <w:bCs/>
        </w:rPr>
        <w:t>Cellule de</w:t>
      </w:r>
      <w:r>
        <w:rPr>
          <w:bCs/>
        </w:rPr>
        <w:t xml:space="preserve"> Coordination Humanitaire (CCH) ;</w:t>
      </w:r>
    </w:p>
    <w:p w:rsidR="00D313C0" w:rsidRDefault="00B95D06" w:rsidP="00D313C0">
      <w:pPr>
        <w:pStyle w:val="Paragraphedeliste"/>
        <w:numPr>
          <w:ilvl w:val="0"/>
          <w:numId w:val="29"/>
        </w:numPr>
        <w:spacing w:line="276" w:lineRule="auto"/>
        <w:jc w:val="both"/>
      </w:pPr>
      <w:r w:rsidRPr="00D313C0">
        <w:rPr>
          <w:bCs/>
        </w:rPr>
        <w:t>Ville de Niamey</w:t>
      </w:r>
      <w:r w:rsidR="00D313C0">
        <w:rPr>
          <w:bCs/>
        </w:rPr>
        <w:t>.</w:t>
      </w:r>
    </w:p>
    <w:p w:rsidR="00D313C0" w:rsidRPr="00DA403A" w:rsidRDefault="00D313C0" w:rsidP="006026FE">
      <w:pPr>
        <w:spacing w:line="276" w:lineRule="auto"/>
        <w:jc w:val="both"/>
      </w:pPr>
    </w:p>
    <w:p w:rsidR="000B5368" w:rsidRPr="00517AAF" w:rsidRDefault="00000ECC" w:rsidP="006026FE">
      <w:pPr>
        <w:spacing w:line="276" w:lineRule="auto"/>
        <w:jc w:val="both"/>
        <w:rPr>
          <w:b/>
        </w:rPr>
      </w:pPr>
      <w:r>
        <w:rPr>
          <w:b/>
        </w:rPr>
        <w:t xml:space="preserve">5.1.3.14 </w:t>
      </w:r>
      <w:r w:rsidR="000B5368" w:rsidRPr="00517AAF">
        <w:rPr>
          <w:b/>
        </w:rPr>
        <w:t>Visa du contrôleur financier</w:t>
      </w:r>
      <w:r w:rsidR="007D068E">
        <w:rPr>
          <w:b/>
        </w:rPr>
        <w:tab/>
      </w:r>
      <w:r w:rsidR="007D068E">
        <w:rPr>
          <w:b/>
        </w:rPr>
        <w:tab/>
      </w:r>
      <w:r w:rsidR="007D068E">
        <w:rPr>
          <w:b/>
        </w:rPr>
        <w:tab/>
      </w:r>
      <w:r w:rsidR="007D068E">
        <w:rPr>
          <w:b/>
        </w:rPr>
        <w:tab/>
      </w:r>
      <w:r w:rsidR="007D068E">
        <w:rPr>
          <w:b/>
        </w:rPr>
        <w:tab/>
      </w:r>
      <w:r w:rsidR="007D068E">
        <w:rPr>
          <w:b/>
        </w:rPr>
        <w:tab/>
      </w:r>
      <w:r w:rsidR="007D068E">
        <w:rPr>
          <w:b/>
        </w:rPr>
        <w:tab/>
      </w:r>
      <w:r w:rsidR="00523945">
        <w:rPr>
          <w:b/>
        </w:rPr>
        <w:t xml:space="preserve"> (5</w:t>
      </w:r>
      <w:r w:rsidR="000B5368">
        <w:rPr>
          <w:b/>
        </w:rPr>
        <w:t>/9)</w:t>
      </w:r>
    </w:p>
    <w:p w:rsidR="000B5368" w:rsidRDefault="000B5368" w:rsidP="006026FE">
      <w:pPr>
        <w:spacing w:line="276" w:lineRule="auto"/>
        <w:jc w:val="both"/>
        <w:rPr>
          <w:i/>
        </w:rPr>
      </w:pPr>
      <w:r w:rsidRPr="00517AAF">
        <w:t>L’article 8 de l’arrêté 36/CAB/PRN/ARMP du 21 janvier 2014 portant  modalités de signature et d’approbation des marchés publics et des délégations de service public stipule que « </w:t>
      </w:r>
      <w:r w:rsidRPr="00517AAF">
        <w:rPr>
          <w:i/>
        </w:rPr>
        <w:t>après signature du marché par les personnes indiquées à l’article 2,  le marché est transmis par la DMP au visa du contrôleur au prés de l’autorité avant d’être soumis à l’autorité approbatrice ».</w:t>
      </w:r>
    </w:p>
    <w:p w:rsidR="000B5368" w:rsidRDefault="00D313C0" w:rsidP="006026FE">
      <w:pPr>
        <w:spacing w:line="276" w:lineRule="auto"/>
        <w:jc w:val="both"/>
      </w:pPr>
      <w:r w:rsidRPr="00D313C0">
        <w:t xml:space="preserve">Le visa du contrôleur financier a été respecté au niveau de </w:t>
      </w:r>
      <w:r>
        <w:t>quatre (4)</w:t>
      </w:r>
      <w:r w:rsidRPr="00D313C0">
        <w:t xml:space="preserve">  autorités contractantes</w:t>
      </w:r>
      <w:r>
        <w:t> :</w:t>
      </w:r>
    </w:p>
    <w:p w:rsidR="00D313C0" w:rsidRDefault="000B5368" w:rsidP="00D313C0">
      <w:pPr>
        <w:pStyle w:val="Paragraphedeliste"/>
        <w:numPr>
          <w:ilvl w:val="0"/>
          <w:numId w:val="43"/>
        </w:numPr>
        <w:spacing w:line="276" w:lineRule="auto"/>
        <w:jc w:val="both"/>
      </w:pPr>
      <w:r>
        <w:t>Office National d’Edition et de Presse (</w:t>
      </w:r>
      <w:r w:rsidRPr="00517AAF">
        <w:t>ONEP</w:t>
      </w:r>
      <w:r w:rsidR="00D313C0">
        <w:t>) ;</w:t>
      </w:r>
    </w:p>
    <w:p w:rsidR="00523945" w:rsidRDefault="00523945" w:rsidP="00D313C0">
      <w:pPr>
        <w:pStyle w:val="Paragraphedeliste"/>
        <w:numPr>
          <w:ilvl w:val="0"/>
          <w:numId w:val="43"/>
        </w:numPr>
        <w:spacing w:line="276" w:lineRule="auto"/>
        <w:jc w:val="both"/>
      </w:pPr>
      <w:r w:rsidRPr="00D313C0">
        <w:rPr>
          <w:bCs/>
        </w:rPr>
        <w:t>Ministère de l'Equipement/CAFER</w:t>
      </w:r>
      <w:r>
        <w:rPr>
          <w:bCs/>
        </w:rPr>
        <w:t> ;</w:t>
      </w:r>
    </w:p>
    <w:p w:rsidR="00D313C0" w:rsidRDefault="000B5368" w:rsidP="00D313C0">
      <w:pPr>
        <w:pStyle w:val="Paragraphedeliste"/>
        <w:numPr>
          <w:ilvl w:val="0"/>
          <w:numId w:val="43"/>
        </w:numPr>
        <w:spacing w:line="276" w:lineRule="auto"/>
        <w:jc w:val="both"/>
      </w:pPr>
      <w:r w:rsidRPr="00517AAF">
        <w:t>CAIMA</w:t>
      </w:r>
      <w:r w:rsidR="00D313C0">
        <w:t> ;</w:t>
      </w:r>
    </w:p>
    <w:p w:rsidR="00D313C0" w:rsidRDefault="000B5368" w:rsidP="00D313C0">
      <w:pPr>
        <w:pStyle w:val="Paragraphedeliste"/>
        <w:numPr>
          <w:ilvl w:val="0"/>
          <w:numId w:val="43"/>
        </w:numPr>
        <w:spacing w:line="276" w:lineRule="auto"/>
        <w:jc w:val="both"/>
      </w:pPr>
      <w:r w:rsidRPr="00517AAF">
        <w:t>HC</w:t>
      </w:r>
      <w:r>
        <w:t>A</w:t>
      </w:r>
      <w:r w:rsidRPr="00517AAF">
        <w:t>VN</w:t>
      </w:r>
      <w:r w:rsidR="00D313C0">
        <w:t> ;</w:t>
      </w:r>
    </w:p>
    <w:p w:rsidR="000B5368" w:rsidRDefault="000B5368" w:rsidP="00D313C0">
      <w:pPr>
        <w:pStyle w:val="Paragraphedeliste"/>
        <w:numPr>
          <w:ilvl w:val="0"/>
          <w:numId w:val="43"/>
        </w:numPr>
        <w:spacing w:line="276" w:lineRule="auto"/>
        <w:jc w:val="both"/>
      </w:pPr>
      <w:r>
        <w:t>Direction Régionale de l’Hydraulique et de l’Assainissement de Tillabéri (DRHA/Ti)</w:t>
      </w:r>
    </w:p>
    <w:p w:rsidR="00000ECC" w:rsidRDefault="00000ECC" w:rsidP="006026FE">
      <w:pPr>
        <w:spacing w:line="276" w:lineRule="auto"/>
        <w:jc w:val="both"/>
      </w:pPr>
    </w:p>
    <w:p w:rsidR="000B5368" w:rsidRPr="009B53CD" w:rsidRDefault="00000ECC" w:rsidP="006026FE">
      <w:pPr>
        <w:spacing w:line="276" w:lineRule="auto"/>
        <w:jc w:val="both"/>
        <w:rPr>
          <w:b/>
        </w:rPr>
      </w:pPr>
      <w:r>
        <w:rPr>
          <w:b/>
        </w:rPr>
        <w:t xml:space="preserve">5.1.3.15 </w:t>
      </w:r>
      <w:r w:rsidR="000B5368" w:rsidRPr="009B53CD">
        <w:rPr>
          <w:b/>
        </w:rPr>
        <w:t xml:space="preserve"> Respect des règles d’approbation du marché</w:t>
      </w:r>
      <w:r w:rsidR="007D068E">
        <w:rPr>
          <w:b/>
        </w:rPr>
        <w:tab/>
      </w:r>
      <w:r w:rsidR="007D068E">
        <w:rPr>
          <w:b/>
        </w:rPr>
        <w:tab/>
      </w:r>
      <w:r w:rsidR="007D068E">
        <w:rPr>
          <w:b/>
        </w:rPr>
        <w:tab/>
      </w:r>
      <w:r w:rsidR="007D068E">
        <w:rPr>
          <w:b/>
        </w:rPr>
        <w:tab/>
      </w:r>
      <w:r w:rsidR="007D068E">
        <w:rPr>
          <w:b/>
        </w:rPr>
        <w:tab/>
      </w:r>
      <w:r w:rsidR="000B5368">
        <w:rPr>
          <w:b/>
        </w:rPr>
        <w:t>(7/9)</w:t>
      </w:r>
    </w:p>
    <w:p w:rsidR="00586031" w:rsidRPr="00586031" w:rsidRDefault="00586031" w:rsidP="00586031">
      <w:pPr>
        <w:spacing w:line="276" w:lineRule="auto"/>
        <w:jc w:val="both"/>
      </w:pPr>
      <w:r w:rsidRPr="00586031">
        <w:t xml:space="preserve">Conformément à l’article 15 de l’arrêté 34/CAB/PM/ARMP du 21 janvier 2014 fixant les délais dans le cadre des marchés publics et des délégations de service public, </w:t>
      </w:r>
      <w:r w:rsidRPr="00586031">
        <w:rPr>
          <w:i/>
        </w:rPr>
        <w:t xml:space="preserve">l’approbation du marché doit intervenir dans un délai de sept (7) jours ouvrables à compter de la date de </w:t>
      </w:r>
      <w:r w:rsidRPr="00586031">
        <w:rPr>
          <w:i/>
        </w:rPr>
        <w:lastRenderedPageBreak/>
        <w:t>réception du dossier par l’autorité approbatrice et dans tous les cas dans le délai de validité de l’offre de l’attributaire</w:t>
      </w:r>
      <w:r w:rsidRPr="00586031">
        <w:t>.</w:t>
      </w:r>
    </w:p>
    <w:p w:rsidR="00F23204" w:rsidRDefault="00F23204" w:rsidP="00586031">
      <w:pPr>
        <w:spacing w:line="276" w:lineRule="auto"/>
        <w:jc w:val="both"/>
      </w:pPr>
    </w:p>
    <w:p w:rsidR="00F23204" w:rsidRDefault="00F23204" w:rsidP="00586031">
      <w:pPr>
        <w:spacing w:line="276" w:lineRule="auto"/>
        <w:jc w:val="both"/>
      </w:pPr>
    </w:p>
    <w:p w:rsidR="00586031" w:rsidRPr="00586031" w:rsidRDefault="00586031" w:rsidP="00586031">
      <w:pPr>
        <w:spacing w:line="276" w:lineRule="auto"/>
        <w:jc w:val="both"/>
      </w:pPr>
      <w:r w:rsidRPr="00586031">
        <w:t>Les</w:t>
      </w:r>
      <w:r w:rsidR="00F23204">
        <w:t xml:space="preserve"> </w:t>
      </w:r>
      <w:r w:rsidRPr="00586031">
        <w:t xml:space="preserve">règles d’approbation du marché ont été respectées </w:t>
      </w:r>
      <w:r>
        <w:t>au niveau de sept autorités contractantes :</w:t>
      </w:r>
    </w:p>
    <w:p w:rsidR="00586031" w:rsidRDefault="00586031" w:rsidP="00586031">
      <w:pPr>
        <w:pStyle w:val="Paragraphedeliste"/>
        <w:numPr>
          <w:ilvl w:val="0"/>
          <w:numId w:val="44"/>
        </w:numPr>
        <w:spacing w:line="276" w:lineRule="auto"/>
        <w:jc w:val="both"/>
      </w:pPr>
      <w:r>
        <w:t>Office Nationale d’Edition et de Presse (</w:t>
      </w:r>
      <w:r w:rsidR="000B5368">
        <w:t>ONEP</w:t>
      </w:r>
      <w:r>
        <w:t>) ;</w:t>
      </w:r>
    </w:p>
    <w:p w:rsidR="00586031" w:rsidRDefault="000B5368" w:rsidP="00586031">
      <w:pPr>
        <w:pStyle w:val="Paragraphedeliste"/>
        <w:numPr>
          <w:ilvl w:val="0"/>
          <w:numId w:val="44"/>
        </w:numPr>
        <w:spacing w:line="276" w:lineRule="auto"/>
        <w:jc w:val="both"/>
      </w:pPr>
      <w:r>
        <w:t>Ministère de l’Equipement/CAFER</w:t>
      </w:r>
      <w:r w:rsidR="00586031">
        <w:t> ;</w:t>
      </w:r>
    </w:p>
    <w:p w:rsidR="00586031" w:rsidRDefault="00586031" w:rsidP="00586031">
      <w:pPr>
        <w:pStyle w:val="Paragraphedeliste"/>
        <w:numPr>
          <w:ilvl w:val="0"/>
          <w:numId w:val="44"/>
        </w:numPr>
        <w:spacing w:line="276" w:lineRule="auto"/>
        <w:jc w:val="both"/>
      </w:pPr>
      <w:r>
        <w:t>Cellule de Crises Alimentaire (</w:t>
      </w:r>
      <w:r w:rsidR="000B5368">
        <w:t>CCA</w:t>
      </w:r>
      <w:r>
        <w:t>) ;</w:t>
      </w:r>
    </w:p>
    <w:p w:rsidR="00586031" w:rsidRDefault="00586031" w:rsidP="00586031">
      <w:pPr>
        <w:pStyle w:val="Paragraphedeliste"/>
        <w:numPr>
          <w:ilvl w:val="0"/>
          <w:numId w:val="44"/>
        </w:numPr>
        <w:spacing w:line="276" w:lineRule="auto"/>
        <w:jc w:val="both"/>
      </w:pPr>
      <w:r>
        <w:t>Cellule de Coordination Humanitaire (CCH) ;</w:t>
      </w:r>
    </w:p>
    <w:p w:rsidR="00586031" w:rsidRDefault="000B5368" w:rsidP="00586031">
      <w:pPr>
        <w:pStyle w:val="Paragraphedeliste"/>
        <w:numPr>
          <w:ilvl w:val="0"/>
          <w:numId w:val="44"/>
        </w:numPr>
        <w:spacing w:line="276" w:lineRule="auto"/>
        <w:jc w:val="both"/>
      </w:pPr>
      <w:r>
        <w:t>Ville de Niamey</w:t>
      </w:r>
      <w:r w:rsidR="00586031">
        <w:t> ;</w:t>
      </w:r>
    </w:p>
    <w:p w:rsidR="00586031" w:rsidRDefault="00586031" w:rsidP="00586031">
      <w:pPr>
        <w:pStyle w:val="Paragraphedeliste"/>
        <w:numPr>
          <w:ilvl w:val="0"/>
          <w:numId w:val="44"/>
        </w:numPr>
        <w:spacing w:line="276" w:lineRule="auto"/>
        <w:jc w:val="both"/>
      </w:pPr>
      <w:r>
        <w:t>Centrale D’Approvisionnement en Intrants et Matériels Agricoles (CAIMA);</w:t>
      </w:r>
    </w:p>
    <w:p w:rsidR="00000ECC" w:rsidRDefault="00586031" w:rsidP="006026FE">
      <w:pPr>
        <w:pStyle w:val="Paragraphedeliste"/>
        <w:numPr>
          <w:ilvl w:val="0"/>
          <w:numId w:val="44"/>
        </w:numPr>
        <w:spacing w:line="276" w:lineRule="auto"/>
        <w:jc w:val="both"/>
      </w:pPr>
      <w:r>
        <w:t>Haut-Commissariat de l’Aménagement de la vallée du Niger (</w:t>
      </w:r>
      <w:r w:rsidR="000B5368" w:rsidRPr="000D7B50">
        <w:t>HC</w:t>
      </w:r>
      <w:r w:rsidR="00000ECC">
        <w:t>A</w:t>
      </w:r>
      <w:r w:rsidR="000B5368" w:rsidRPr="000D7B50">
        <w:t>VN</w:t>
      </w:r>
      <w:r>
        <w:t>)</w:t>
      </w:r>
      <w:r w:rsidR="00EC4335">
        <w:t>.</w:t>
      </w:r>
    </w:p>
    <w:p w:rsidR="00586031" w:rsidRDefault="00586031" w:rsidP="00586031">
      <w:pPr>
        <w:spacing w:line="276" w:lineRule="auto"/>
        <w:ind w:left="420"/>
        <w:jc w:val="both"/>
      </w:pPr>
    </w:p>
    <w:p w:rsidR="000B5368" w:rsidRPr="007A59CD" w:rsidRDefault="00000ECC" w:rsidP="006026FE">
      <w:pPr>
        <w:spacing w:line="276" w:lineRule="auto"/>
        <w:jc w:val="both"/>
        <w:rPr>
          <w:b/>
        </w:rPr>
      </w:pPr>
      <w:r>
        <w:rPr>
          <w:b/>
        </w:rPr>
        <w:t xml:space="preserve">5.1.3.16 </w:t>
      </w:r>
      <w:r w:rsidR="000B5368" w:rsidRPr="007A59CD">
        <w:rPr>
          <w:b/>
        </w:rPr>
        <w:t xml:space="preserve"> Enregistrement du marché</w:t>
      </w:r>
      <w:r w:rsidR="007D068E">
        <w:rPr>
          <w:b/>
        </w:rPr>
        <w:tab/>
      </w:r>
      <w:r w:rsidR="007D068E">
        <w:rPr>
          <w:b/>
        </w:rPr>
        <w:tab/>
      </w:r>
      <w:r w:rsidR="007D068E">
        <w:rPr>
          <w:b/>
        </w:rPr>
        <w:tab/>
      </w:r>
      <w:r w:rsidR="007D068E">
        <w:rPr>
          <w:b/>
        </w:rPr>
        <w:tab/>
      </w:r>
      <w:r w:rsidR="007D068E">
        <w:rPr>
          <w:b/>
        </w:rPr>
        <w:tab/>
      </w:r>
      <w:r w:rsidR="007D068E">
        <w:rPr>
          <w:b/>
        </w:rPr>
        <w:tab/>
      </w:r>
      <w:r w:rsidR="007D068E">
        <w:rPr>
          <w:b/>
        </w:rPr>
        <w:tab/>
      </w:r>
      <w:r w:rsidR="000B5368">
        <w:rPr>
          <w:b/>
        </w:rPr>
        <w:t>(9/9)</w:t>
      </w:r>
    </w:p>
    <w:p w:rsidR="000B5368" w:rsidRDefault="000B5368" w:rsidP="006026FE">
      <w:pPr>
        <w:spacing w:line="276" w:lineRule="auto"/>
        <w:jc w:val="both"/>
      </w:pPr>
      <w:r w:rsidRPr="007A59CD">
        <w:t xml:space="preserve">La revue de l’enregistrement des marchés a révélé que tous les marchés </w:t>
      </w:r>
      <w:r>
        <w:t>des différentes Autorités Contractantes sélectionnées</w:t>
      </w:r>
      <w:r w:rsidRPr="007A59CD">
        <w:t xml:space="preserve"> ont été enregistrés aux impôts  conformément à l’article 17 de l’arrêté 36/CAB/PM/ARMP du 21 janvier 2014 portant  modalités de signature et d’approbation des marchés publics et des délégations de service public.</w:t>
      </w:r>
    </w:p>
    <w:p w:rsidR="00000ECC" w:rsidRPr="000D7B50" w:rsidRDefault="00000ECC" w:rsidP="006026FE">
      <w:pPr>
        <w:spacing w:line="276" w:lineRule="auto"/>
        <w:jc w:val="both"/>
      </w:pPr>
    </w:p>
    <w:p w:rsidR="000B5368" w:rsidRPr="000D7B50" w:rsidRDefault="00000ECC" w:rsidP="006026FE">
      <w:pPr>
        <w:spacing w:line="276" w:lineRule="auto"/>
        <w:jc w:val="both"/>
        <w:rPr>
          <w:b/>
        </w:rPr>
      </w:pPr>
      <w:r>
        <w:rPr>
          <w:b/>
        </w:rPr>
        <w:t xml:space="preserve">5.1.3.17 </w:t>
      </w:r>
      <w:r w:rsidR="000B5368" w:rsidRPr="000D7B50">
        <w:rPr>
          <w:b/>
        </w:rPr>
        <w:t xml:space="preserve"> Notification des Ordres de service</w:t>
      </w:r>
      <w:r w:rsidR="007D068E">
        <w:rPr>
          <w:b/>
        </w:rPr>
        <w:tab/>
      </w:r>
      <w:r w:rsidR="007D068E">
        <w:rPr>
          <w:b/>
        </w:rPr>
        <w:tab/>
      </w:r>
      <w:r w:rsidR="007D068E">
        <w:rPr>
          <w:b/>
        </w:rPr>
        <w:tab/>
      </w:r>
      <w:r w:rsidR="007D068E">
        <w:rPr>
          <w:b/>
        </w:rPr>
        <w:tab/>
      </w:r>
      <w:r w:rsidR="007D068E">
        <w:rPr>
          <w:b/>
        </w:rPr>
        <w:tab/>
      </w:r>
      <w:r w:rsidR="007D068E">
        <w:rPr>
          <w:b/>
        </w:rPr>
        <w:tab/>
        <w:t>(4/9)</w:t>
      </w:r>
    </w:p>
    <w:p w:rsidR="00BF652C" w:rsidRDefault="00BF652C" w:rsidP="006026FE">
      <w:pPr>
        <w:spacing w:line="276" w:lineRule="auto"/>
        <w:jc w:val="both"/>
      </w:pPr>
      <w:r w:rsidRPr="00BF652C">
        <w:t>La notification des ordres de service a été respectée au niveau</w:t>
      </w:r>
      <w:r>
        <w:t xml:space="preserve"> de quatre (4) autorités contractantes :</w:t>
      </w:r>
    </w:p>
    <w:p w:rsidR="00BF652C" w:rsidRDefault="00BF652C" w:rsidP="006026FE">
      <w:pPr>
        <w:pStyle w:val="Paragraphedeliste"/>
        <w:numPr>
          <w:ilvl w:val="0"/>
          <w:numId w:val="52"/>
        </w:numPr>
        <w:spacing w:line="276" w:lineRule="auto"/>
        <w:jc w:val="both"/>
      </w:pPr>
      <w:r>
        <w:t>Centrale d’Approvisionnement en intrants et Matériels Agricoles (CAIMA) ;</w:t>
      </w:r>
    </w:p>
    <w:p w:rsidR="00BF652C" w:rsidRDefault="00BF652C" w:rsidP="006026FE">
      <w:pPr>
        <w:pStyle w:val="Paragraphedeliste"/>
        <w:numPr>
          <w:ilvl w:val="0"/>
          <w:numId w:val="52"/>
        </w:numPr>
        <w:spacing w:line="276" w:lineRule="auto"/>
        <w:jc w:val="both"/>
      </w:pPr>
      <w:r w:rsidRPr="00BF652C">
        <w:t>Cellu</w:t>
      </w:r>
      <w:r>
        <w:t>le de Crises Alimentaires (CCA) ;</w:t>
      </w:r>
    </w:p>
    <w:p w:rsidR="00BF652C" w:rsidRDefault="00BF652C" w:rsidP="006026FE">
      <w:pPr>
        <w:pStyle w:val="Paragraphedeliste"/>
        <w:numPr>
          <w:ilvl w:val="0"/>
          <w:numId w:val="52"/>
        </w:numPr>
        <w:spacing w:line="276" w:lineRule="auto"/>
        <w:jc w:val="both"/>
      </w:pPr>
      <w:r w:rsidRPr="00BF652C">
        <w:t>Cellule de Coordination Humanitaire (CCH</w:t>
      </w:r>
      <w:r w:rsidR="00683876">
        <w:t>)</w:t>
      </w:r>
      <w:r>
        <w:t>;</w:t>
      </w:r>
    </w:p>
    <w:p w:rsidR="000B5368" w:rsidRDefault="00BF652C" w:rsidP="006026FE">
      <w:pPr>
        <w:pStyle w:val="Paragraphedeliste"/>
        <w:numPr>
          <w:ilvl w:val="0"/>
          <w:numId w:val="52"/>
        </w:numPr>
        <w:spacing w:line="276" w:lineRule="auto"/>
        <w:jc w:val="both"/>
      </w:pPr>
      <w:r>
        <w:t>Direction Régionale de l’Hydraulique et de l’Assainissement de Tillabéri (</w:t>
      </w:r>
      <w:r w:rsidR="000B5368" w:rsidRPr="000D7B50">
        <w:t>DRHA/Ti</w:t>
      </w:r>
      <w:r>
        <w:t>)</w:t>
      </w:r>
      <w:r w:rsidR="000B5368">
        <w:t>.</w:t>
      </w:r>
    </w:p>
    <w:p w:rsidR="00C6366B" w:rsidRDefault="00C6366B" w:rsidP="00C6366B">
      <w:pPr>
        <w:spacing w:line="276" w:lineRule="auto"/>
        <w:jc w:val="both"/>
      </w:pPr>
    </w:p>
    <w:p w:rsidR="00C6366B" w:rsidRDefault="00C6366B" w:rsidP="006026FE">
      <w:pPr>
        <w:spacing w:line="276" w:lineRule="auto"/>
        <w:jc w:val="both"/>
        <w:rPr>
          <w:b/>
        </w:rPr>
      </w:pPr>
    </w:p>
    <w:p w:rsidR="00BF652C" w:rsidRDefault="00BF652C" w:rsidP="006026FE">
      <w:pPr>
        <w:spacing w:line="276" w:lineRule="auto"/>
        <w:jc w:val="both"/>
        <w:rPr>
          <w:b/>
        </w:rPr>
      </w:pPr>
    </w:p>
    <w:p w:rsidR="00BF652C" w:rsidRDefault="00BF652C" w:rsidP="006026FE">
      <w:pPr>
        <w:spacing w:line="276" w:lineRule="auto"/>
        <w:jc w:val="both"/>
        <w:rPr>
          <w:b/>
        </w:rPr>
      </w:pPr>
    </w:p>
    <w:p w:rsidR="00BF652C" w:rsidRDefault="00BF652C" w:rsidP="006026FE">
      <w:pPr>
        <w:spacing w:line="276" w:lineRule="auto"/>
        <w:jc w:val="both"/>
        <w:rPr>
          <w:b/>
        </w:rPr>
      </w:pPr>
    </w:p>
    <w:p w:rsidR="00BF652C" w:rsidRDefault="00BF652C" w:rsidP="006026FE">
      <w:pPr>
        <w:spacing w:line="276" w:lineRule="auto"/>
        <w:jc w:val="both"/>
        <w:rPr>
          <w:b/>
        </w:rPr>
      </w:pPr>
    </w:p>
    <w:p w:rsidR="00BF652C" w:rsidRDefault="00BF652C" w:rsidP="006026FE">
      <w:pPr>
        <w:spacing w:line="276" w:lineRule="auto"/>
        <w:jc w:val="both"/>
        <w:rPr>
          <w:b/>
        </w:rPr>
      </w:pPr>
    </w:p>
    <w:p w:rsidR="00543572" w:rsidRDefault="00543572" w:rsidP="006026FE">
      <w:pPr>
        <w:spacing w:line="276" w:lineRule="auto"/>
        <w:jc w:val="both"/>
        <w:rPr>
          <w:b/>
        </w:rPr>
      </w:pPr>
    </w:p>
    <w:p w:rsidR="00543572" w:rsidRDefault="00543572" w:rsidP="006026FE">
      <w:pPr>
        <w:spacing w:line="276" w:lineRule="auto"/>
        <w:jc w:val="both"/>
        <w:rPr>
          <w:b/>
        </w:rPr>
      </w:pPr>
    </w:p>
    <w:p w:rsidR="00543572" w:rsidRDefault="00543572" w:rsidP="006026FE">
      <w:pPr>
        <w:spacing w:line="276" w:lineRule="auto"/>
        <w:jc w:val="both"/>
        <w:rPr>
          <w:b/>
        </w:rPr>
      </w:pPr>
    </w:p>
    <w:p w:rsidR="00543572" w:rsidRDefault="00543572" w:rsidP="006026FE">
      <w:pPr>
        <w:spacing w:line="276" w:lineRule="auto"/>
        <w:jc w:val="both"/>
        <w:rPr>
          <w:b/>
        </w:rPr>
      </w:pPr>
    </w:p>
    <w:p w:rsidR="00543572" w:rsidRDefault="00543572" w:rsidP="006026FE">
      <w:pPr>
        <w:spacing w:line="276" w:lineRule="auto"/>
        <w:jc w:val="both"/>
        <w:rPr>
          <w:b/>
        </w:rPr>
      </w:pPr>
    </w:p>
    <w:p w:rsidR="00BF652C" w:rsidRDefault="00BF652C" w:rsidP="006026FE">
      <w:pPr>
        <w:spacing w:line="276" w:lineRule="auto"/>
        <w:jc w:val="both"/>
        <w:rPr>
          <w:b/>
        </w:rPr>
      </w:pPr>
    </w:p>
    <w:p w:rsidR="00BF652C" w:rsidRDefault="00BF652C" w:rsidP="006026FE">
      <w:pPr>
        <w:spacing w:line="276" w:lineRule="auto"/>
        <w:jc w:val="both"/>
        <w:rPr>
          <w:b/>
        </w:rPr>
      </w:pPr>
    </w:p>
    <w:p w:rsidR="00BF652C" w:rsidRDefault="00BF652C" w:rsidP="006026FE">
      <w:pPr>
        <w:spacing w:line="276" w:lineRule="auto"/>
        <w:jc w:val="both"/>
        <w:rPr>
          <w:b/>
        </w:rPr>
      </w:pPr>
    </w:p>
    <w:p w:rsidR="00BF652C" w:rsidRDefault="00BF652C" w:rsidP="006026FE">
      <w:pPr>
        <w:spacing w:line="276" w:lineRule="auto"/>
        <w:jc w:val="both"/>
        <w:rPr>
          <w:b/>
        </w:rPr>
      </w:pPr>
    </w:p>
    <w:p w:rsidR="00BF652C" w:rsidRDefault="00BF652C" w:rsidP="006026FE">
      <w:pPr>
        <w:spacing w:line="276" w:lineRule="auto"/>
        <w:jc w:val="both"/>
        <w:rPr>
          <w:b/>
        </w:rPr>
      </w:pPr>
    </w:p>
    <w:p w:rsidR="00BF652C" w:rsidRDefault="00BF652C" w:rsidP="006026FE">
      <w:pPr>
        <w:spacing w:line="276" w:lineRule="auto"/>
        <w:jc w:val="both"/>
        <w:rPr>
          <w:b/>
        </w:rPr>
      </w:pPr>
    </w:p>
    <w:p w:rsidR="009E737A" w:rsidRDefault="009E737A" w:rsidP="006026FE">
      <w:pPr>
        <w:spacing w:line="276" w:lineRule="auto"/>
        <w:jc w:val="both"/>
        <w:rPr>
          <w:b/>
        </w:rPr>
      </w:pPr>
    </w:p>
    <w:p w:rsidR="009E737A" w:rsidRDefault="009E737A" w:rsidP="006026FE">
      <w:pPr>
        <w:spacing w:line="276" w:lineRule="auto"/>
        <w:jc w:val="both"/>
        <w:rPr>
          <w:b/>
        </w:rPr>
      </w:pPr>
    </w:p>
    <w:p w:rsidR="009E737A" w:rsidRDefault="009E737A" w:rsidP="006026FE">
      <w:pPr>
        <w:spacing w:line="276" w:lineRule="auto"/>
        <w:jc w:val="both"/>
        <w:rPr>
          <w:b/>
        </w:rPr>
      </w:pPr>
    </w:p>
    <w:p w:rsidR="00DC0A2F" w:rsidRDefault="00DC0A2F" w:rsidP="006026FE">
      <w:pPr>
        <w:spacing w:line="276" w:lineRule="auto"/>
        <w:jc w:val="both"/>
        <w:rPr>
          <w:b/>
        </w:rPr>
      </w:pPr>
    </w:p>
    <w:p w:rsidR="00196F59" w:rsidRPr="004F4201" w:rsidRDefault="000B5368" w:rsidP="004F4201">
      <w:pPr>
        <w:pStyle w:val="Paragraphedeliste"/>
        <w:numPr>
          <w:ilvl w:val="2"/>
          <w:numId w:val="27"/>
        </w:numPr>
        <w:spacing w:line="276" w:lineRule="auto"/>
        <w:jc w:val="both"/>
        <w:rPr>
          <w:b/>
        </w:rPr>
      </w:pPr>
      <w:r w:rsidRPr="00000ECC">
        <w:rPr>
          <w:b/>
        </w:rPr>
        <w:t>VERIFICATION DE LA CONFORMITE DES OPERATIONS FINANCIERES</w:t>
      </w:r>
    </w:p>
    <w:p w:rsidR="000B5368" w:rsidRDefault="00000ECC" w:rsidP="006026FE">
      <w:pPr>
        <w:spacing w:after="160" w:line="276" w:lineRule="auto"/>
        <w:jc w:val="both"/>
      </w:pPr>
      <w:r>
        <w:rPr>
          <w:b/>
        </w:rPr>
        <w:t xml:space="preserve">5.1.4.1 </w:t>
      </w:r>
      <w:r w:rsidR="000B5368" w:rsidRPr="00000ECC">
        <w:rPr>
          <w:b/>
        </w:rPr>
        <w:t xml:space="preserve">Respect des règles en matière de paiement des avances </w:t>
      </w:r>
      <w:r w:rsidR="007D068E">
        <w:rPr>
          <w:b/>
        </w:rPr>
        <w:tab/>
      </w:r>
      <w:r w:rsidR="007D068E">
        <w:rPr>
          <w:b/>
        </w:rPr>
        <w:tab/>
      </w:r>
      <w:r w:rsidR="007D068E">
        <w:rPr>
          <w:b/>
        </w:rPr>
        <w:tab/>
      </w:r>
      <w:r w:rsidR="007D068E">
        <w:rPr>
          <w:b/>
        </w:rPr>
        <w:tab/>
      </w:r>
      <w:r w:rsidR="004F4201">
        <w:rPr>
          <w:b/>
        </w:rPr>
        <w:t xml:space="preserve"> </w:t>
      </w:r>
      <w:r w:rsidR="000B5368" w:rsidRPr="00000ECC">
        <w:rPr>
          <w:b/>
        </w:rPr>
        <w:t>(</w:t>
      </w:r>
      <w:r w:rsidR="004F4201">
        <w:rPr>
          <w:b/>
        </w:rPr>
        <w:t>4</w:t>
      </w:r>
      <w:r w:rsidR="000B5368" w:rsidRPr="00000ECC">
        <w:rPr>
          <w:b/>
        </w:rPr>
        <w:t>/9)</w:t>
      </w:r>
    </w:p>
    <w:p w:rsidR="004F4201" w:rsidRDefault="000B5368" w:rsidP="006026FE">
      <w:pPr>
        <w:spacing w:line="276" w:lineRule="auto"/>
        <w:jc w:val="both"/>
      </w:pPr>
      <w:r>
        <w:t>Les autorités Contractantes qui ont respectés les règles en matière de paiement des avances sont</w:t>
      </w:r>
      <w:r w:rsidR="004F4201">
        <w:t> :</w:t>
      </w:r>
    </w:p>
    <w:p w:rsidR="004F4201" w:rsidRDefault="000B5368" w:rsidP="004F4201">
      <w:pPr>
        <w:pStyle w:val="Paragraphedeliste"/>
        <w:numPr>
          <w:ilvl w:val="0"/>
          <w:numId w:val="55"/>
        </w:numPr>
        <w:spacing w:line="276" w:lineRule="auto"/>
        <w:ind w:left="1068"/>
        <w:jc w:val="both"/>
      </w:pPr>
      <w:r>
        <w:t xml:space="preserve">Cellule de Crises Alimentaires (CCA), </w:t>
      </w:r>
    </w:p>
    <w:p w:rsidR="004F4201" w:rsidRDefault="000B5368" w:rsidP="004F4201">
      <w:pPr>
        <w:pStyle w:val="Paragraphedeliste"/>
        <w:numPr>
          <w:ilvl w:val="0"/>
          <w:numId w:val="55"/>
        </w:numPr>
        <w:spacing w:line="276" w:lineRule="auto"/>
        <w:ind w:left="1068"/>
        <w:jc w:val="both"/>
      </w:pPr>
      <w:r>
        <w:t xml:space="preserve">Cellule de Coordination Humanitaire (CCH) </w:t>
      </w:r>
    </w:p>
    <w:p w:rsidR="000B5368" w:rsidRDefault="000B5368" w:rsidP="004F4201">
      <w:pPr>
        <w:pStyle w:val="Paragraphedeliste"/>
        <w:numPr>
          <w:ilvl w:val="0"/>
          <w:numId w:val="55"/>
        </w:numPr>
        <w:spacing w:line="276" w:lineRule="auto"/>
        <w:ind w:left="1068"/>
        <w:jc w:val="both"/>
      </w:pPr>
      <w:r>
        <w:t>Office National d’Edition et</w:t>
      </w:r>
      <w:r w:rsidR="004F4201">
        <w:t xml:space="preserve"> de Presse (ONEP)</w:t>
      </w:r>
    </w:p>
    <w:p w:rsidR="004F4201" w:rsidRDefault="004F4201" w:rsidP="004F4201">
      <w:pPr>
        <w:pStyle w:val="Paragraphedeliste"/>
        <w:numPr>
          <w:ilvl w:val="0"/>
          <w:numId w:val="55"/>
        </w:numPr>
        <w:spacing w:line="276" w:lineRule="auto"/>
        <w:ind w:left="1068"/>
        <w:jc w:val="both"/>
      </w:pPr>
      <w:r>
        <w:t>Centrale D’Approvisionnement en Intrants et Matériels Agricoles (CAIMA);</w:t>
      </w:r>
    </w:p>
    <w:p w:rsidR="004F4201" w:rsidRDefault="004F4201" w:rsidP="006026FE">
      <w:pPr>
        <w:spacing w:line="276" w:lineRule="auto"/>
        <w:jc w:val="both"/>
      </w:pPr>
    </w:p>
    <w:p w:rsidR="004F4201" w:rsidRDefault="000B5368" w:rsidP="004F4201">
      <w:pPr>
        <w:pStyle w:val="Paragraphedeliste"/>
        <w:numPr>
          <w:ilvl w:val="3"/>
          <w:numId w:val="27"/>
        </w:numPr>
        <w:spacing w:after="160" w:line="276" w:lineRule="auto"/>
        <w:jc w:val="both"/>
        <w:rPr>
          <w:b/>
        </w:rPr>
      </w:pPr>
      <w:r w:rsidRPr="004F4201">
        <w:rPr>
          <w:b/>
        </w:rPr>
        <w:t>Respect des délais et règles en matière de paiement des factures</w:t>
      </w:r>
    </w:p>
    <w:p w:rsidR="000B5368" w:rsidRPr="004F4201" w:rsidRDefault="000B5368" w:rsidP="004F4201">
      <w:pPr>
        <w:pStyle w:val="Paragraphedeliste"/>
        <w:spacing w:after="160" w:line="276" w:lineRule="auto"/>
        <w:jc w:val="both"/>
        <w:rPr>
          <w:b/>
        </w:rPr>
      </w:pPr>
      <w:r w:rsidRPr="004F4201">
        <w:rPr>
          <w:b/>
        </w:rPr>
        <w:t xml:space="preserve"> des décomptes </w:t>
      </w:r>
      <w:r w:rsidR="004F4201">
        <w:rPr>
          <w:b/>
        </w:rPr>
        <w:t xml:space="preserve">                                                                                                        </w:t>
      </w:r>
      <w:r w:rsidR="003507B8">
        <w:rPr>
          <w:b/>
        </w:rPr>
        <w:t>(4</w:t>
      </w:r>
      <w:r w:rsidRPr="004F4201">
        <w:rPr>
          <w:b/>
        </w:rPr>
        <w:t>/9)</w:t>
      </w:r>
    </w:p>
    <w:p w:rsidR="00196F59" w:rsidRDefault="000B5368" w:rsidP="006026FE">
      <w:pPr>
        <w:spacing w:line="276" w:lineRule="auto"/>
        <w:jc w:val="both"/>
      </w:pPr>
      <w:r>
        <w:t xml:space="preserve">Les délais et règles  en matière de paiement des factures des décomptes ont été respectés par les autorités Contractantes suivantes : </w:t>
      </w:r>
    </w:p>
    <w:p w:rsidR="009C5D44" w:rsidRDefault="009C5D44" w:rsidP="009C5D44">
      <w:pPr>
        <w:pStyle w:val="Paragraphedeliste"/>
        <w:numPr>
          <w:ilvl w:val="0"/>
          <w:numId w:val="55"/>
        </w:numPr>
        <w:spacing w:line="276" w:lineRule="auto"/>
        <w:ind w:left="1068"/>
        <w:jc w:val="both"/>
      </w:pPr>
      <w:r>
        <w:t xml:space="preserve">Cellule de Crises Alimentaires (CCA), </w:t>
      </w:r>
    </w:p>
    <w:p w:rsidR="009C5D44" w:rsidRDefault="009C5D44" w:rsidP="009C5D44">
      <w:pPr>
        <w:pStyle w:val="Paragraphedeliste"/>
        <w:numPr>
          <w:ilvl w:val="0"/>
          <w:numId w:val="55"/>
        </w:numPr>
        <w:spacing w:line="276" w:lineRule="auto"/>
        <w:ind w:left="1068"/>
        <w:jc w:val="both"/>
      </w:pPr>
      <w:r>
        <w:t xml:space="preserve">Cellule de Coordination Humanitaire (CCH) </w:t>
      </w:r>
    </w:p>
    <w:p w:rsidR="009C5D44" w:rsidRDefault="009C5D44" w:rsidP="009C5D44">
      <w:pPr>
        <w:pStyle w:val="Paragraphedeliste"/>
        <w:numPr>
          <w:ilvl w:val="0"/>
          <w:numId w:val="55"/>
        </w:numPr>
        <w:spacing w:line="276" w:lineRule="auto"/>
        <w:ind w:left="1068"/>
        <w:jc w:val="both"/>
      </w:pPr>
      <w:r>
        <w:t>Office National d’Edition et de Presse (ONEP)</w:t>
      </w:r>
    </w:p>
    <w:p w:rsidR="009C5D44" w:rsidRDefault="009C5D44" w:rsidP="009C5D44">
      <w:pPr>
        <w:pStyle w:val="Paragraphedeliste"/>
        <w:numPr>
          <w:ilvl w:val="0"/>
          <w:numId w:val="55"/>
        </w:numPr>
        <w:spacing w:line="276" w:lineRule="auto"/>
        <w:ind w:left="1068"/>
        <w:jc w:val="both"/>
      </w:pPr>
      <w:r>
        <w:t>Centrale D’Approvisionnement en Intrants et Matériels Agricoles (CAIMA);</w:t>
      </w:r>
    </w:p>
    <w:p w:rsidR="000B5368" w:rsidRDefault="000B5368" w:rsidP="006026FE">
      <w:pPr>
        <w:spacing w:line="276" w:lineRule="auto"/>
        <w:jc w:val="both"/>
        <w:rPr>
          <w:b/>
        </w:rPr>
      </w:pPr>
    </w:p>
    <w:p w:rsidR="000B5368" w:rsidRDefault="000B5368" w:rsidP="006026FE">
      <w:pPr>
        <w:spacing w:line="276" w:lineRule="auto"/>
        <w:jc w:val="both"/>
        <w:rPr>
          <w:b/>
        </w:rPr>
      </w:pPr>
    </w:p>
    <w:p w:rsidR="00000ECC" w:rsidRDefault="00000ECC" w:rsidP="006026FE">
      <w:pPr>
        <w:spacing w:line="276" w:lineRule="auto"/>
        <w:jc w:val="both"/>
        <w:rPr>
          <w:b/>
        </w:rPr>
      </w:pPr>
    </w:p>
    <w:p w:rsidR="00000ECC" w:rsidRDefault="00000ECC" w:rsidP="006026FE">
      <w:pPr>
        <w:spacing w:line="276" w:lineRule="auto"/>
        <w:jc w:val="both"/>
        <w:rPr>
          <w:b/>
        </w:rPr>
      </w:pPr>
    </w:p>
    <w:p w:rsidR="00000ECC" w:rsidRDefault="00000ECC" w:rsidP="006026FE">
      <w:pPr>
        <w:spacing w:line="276" w:lineRule="auto"/>
        <w:jc w:val="both"/>
        <w:rPr>
          <w:b/>
        </w:rPr>
      </w:pPr>
    </w:p>
    <w:p w:rsidR="00000ECC" w:rsidRDefault="00000ECC" w:rsidP="006026FE">
      <w:pPr>
        <w:spacing w:line="276" w:lineRule="auto"/>
        <w:jc w:val="both"/>
        <w:rPr>
          <w:b/>
        </w:rPr>
      </w:pPr>
    </w:p>
    <w:p w:rsidR="00000ECC" w:rsidRDefault="00000ECC" w:rsidP="006026FE">
      <w:pPr>
        <w:spacing w:line="276" w:lineRule="auto"/>
        <w:jc w:val="both"/>
        <w:rPr>
          <w:b/>
        </w:rPr>
      </w:pPr>
    </w:p>
    <w:p w:rsidR="00000ECC" w:rsidRDefault="00000ECC" w:rsidP="006026FE">
      <w:pPr>
        <w:spacing w:line="276" w:lineRule="auto"/>
        <w:jc w:val="both"/>
        <w:rPr>
          <w:b/>
        </w:rPr>
      </w:pPr>
    </w:p>
    <w:p w:rsidR="00000ECC" w:rsidRDefault="00000ECC" w:rsidP="006026FE">
      <w:pPr>
        <w:spacing w:line="276" w:lineRule="auto"/>
        <w:jc w:val="both"/>
        <w:rPr>
          <w:b/>
        </w:rPr>
      </w:pPr>
    </w:p>
    <w:p w:rsidR="00000ECC" w:rsidRDefault="00000ECC" w:rsidP="006026FE">
      <w:pPr>
        <w:spacing w:line="276" w:lineRule="auto"/>
        <w:jc w:val="both"/>
        <w:rPr>
          <w:b/>
        </w:rPr>
      </w:pPr>
    </w:p>
    <w:p w:rsidR="00000ECC" w:rsidRDefault="00000ECC" w:rsidP="006026FE">
      <w:pPr>
        <w:spacing w:line="276" w:lineRule="auto"/>
        <w:jc w:val="both"/>
        <w:rPr>
          <w:b/>
        </w:rPr>
      </w:pPr>
    </w:p>
    <w:p w:rsidR="00EC4335" w:rsidRDefault="00EC4335" w:rsidP="006026FE">
      <w:pPr>
        <w:spacing w:line="276" w:lineRule="auto"/>
        <w:jc w:val="both"/>
        <w:rPr>
          <w:b/>
        </w:rPr>
      </w:pPr>
    </w:p>
    <w:p w:rsidR="00EC4335" w:rsidRDefault="00EC4335" w:rsidP="006026FE">
      <w:pPr>
        <w:spacing w:line="276" w:lineRule="auto"/>
        <w:jc w:val="both"/>
        <w:rPr>
          <w:b/>
        </w:rPr>
      </w:pPr>
    </w:p>
    <w:p w:rsidR="00EC4335" w:rsidRDefault="00EC4335" w:rsidP="006026FE">
      <w:pPr>
        <w:spacing w:line="276" w:lineRule="auto"/>
        <w:jc w:val="both"/>
        <w:rPr>
          <w:b/>
        </w:rPr>
      </w:pPr>
    </w:p>
    <w:p w:rsidR="00EC4335" w:rsidRDefault="00EC4335" w:rsidP="006026FE">
      <w:pPr>
        <w:spacing w:line="276" w:lineRule="auto"/>
        <w:jc w:val="both"/>
        <w:rPr>
          <w:b/>
        </w:rPr>
      </w:pPr>
    </w:p>
    <w:p w:rsidR="00BF652C" w:rsidRDefault="00BF652C" w:rsidP="006026FE">
      <w:pPr>
        <w:spacing w:line="276" w:lineRule="auto"/>
        <w:jc w:val="both"/>
        <w:rPr>
          <w:b/>
        </w:rPr>
      </w:pPr>
    </w:p>
    <w:p w:rsidR="00BF652C" w:rsidRDefault="00BF652C" w:rsidP="006026FE">
      <w:pPr>
        <w:spacing w:line="276" w:lineRule="auto"/>
        <w:jc w:val="both"/>
        <w:rPr>
          <w:b/>
        </w:rPr>
      </w:pPr>
    </w:p>
    <w:p w:rsidR="00BF652C" w:rsidRDefault="00BF652C" w:rsidP="006026FE">
      <w:pPr>
        <w:spacing w:line="276" w:lineRule="auto"/>
        <w:jc w:val="both"/>
        <w:rPr>
          <w:b/>
        </w:rPr>
      </w:pPr>
    </w:p>
    <w:p w:rsidR="00BF652C" w:rsidRDefault="00BF652C" w:rsidP="006026FE">
      <w:pPr>
        <w:spacing w:line="276" w:lineRule="auto"/>
        <w:jc w:val="both"/>
        <w:rPr>
          <w:b/>
        </w:rPr>
      </w:pPr>
    </w:p>
    <w:p w:rsidR="00BF652C" w:rsidRDefault="00BF652C" w:rsidP="006026FE">
      <w:pPr>
        <w:spacing w:line="276" w:lineRule="auto"/>
        <w:jc w:val="both"/>
        <w:rPr>
          <w:b/>
        </w:rPr>
      </w:pPr>
    </w:p>
    <w:p w:rsidR="00BF652C" w:rsidRDefault="00BF652C" w:rsidP="006026FE">
      <w:pPr>
        <w:spacing w:line="276" w:lineRule="auto"/>
        <w:jc w:val="both"/>
        <w:rPr>
          <w:b/>
        </w:rPr>
      </w:pPr>
    </w:p>
    <w:p w:rsidR="00BF652C" w:rsidRDefault="00BF652C" w:rsidP="006026FE">
      <w:pPr>
        <w:spacing w:line="276" w:lineRule="auto"/>
        <w:jc w:val="both"/>
        <w:rPr>
          <w:b/>
        </w:rPr>
      </w:pPr>
    </w:p>
    <w:p w:rsidR="00225461" w:rsidRDefault="00225461" w:rsidP="006026FE">
      <w:pPr>
        <w:spacing w:line="276" w:lineRule="auto"/>
        <w:jc w:val="both"/>
        <w:rPr>
          <w:b/>
        </w:rPr>
      </w:pPr>
    </w:p>
    <w:p w:rsidR="00225461" w:rsidRDefault="00225461" w:rsidP="006026FE">
      <w:pPr>
        <w:spacing w:line="276" w:lineRule="auto"/>
        <w:jc w:val="both"/>
        <w:rPr>
          <w:b/>
        </w:rPr>
      </w:pPr>
    </w:p>
    <w:p w:rsidR="00F2267D" w:rsidRPr="00F2267D" w:rsidRDefault="00F2267D" w:rsidP="00F2267D">
      <w:pPr>
        <w:spacing w:after="160" w:line="259" w:lineRule="auto"/>
        <w:rPr>
          <w:rFonts w:eastAsiaTheme="minorHAnsi"/>
          <w:b/>
          <w:lang w:eastAsia="en-US"/>
        </w:rPr>
      </w:pPr>
      <w:r w:rsidRPr="00F2267D">
        <w:rPr>
          <w:rFonts w:eastAsiaTheme="minorHAnsi"/>
          <w:b/>
          <w:lang w:eastAsia="en-US"/>
        </w:rPr>
        <w:t>5.2 POINTS FAIBLES ET RECOMMANDATIONS</w:t>
      </w:r>
    </w:p>
    <w:p w:rsidR="00F2267D" w:rsidRPr="00F2267D" w:rsidRDefault="00F2267D" w:rsidP="00F2267D">
      <w:pPr>
        <w:autoSpaceDE w:val="0"/>
        <w:autoSpaceDN w:val="0"/>
        <w:adjustRightInd w:val="0"/>
        <w:spacing w:after="160" w:line="276" w:lineRule="auto"/>
        <w:jc w:val="both"/>
        <w:rPr>
          <w:rFonts w:eastAsiaTheme="minorHAnsi"/>
          <w:b/>
          <w:bCs/>
          <w:lang w:eastAsia="en-US"/>
        </w:rPr>
      </w:pPr>
      <w:r w:rsidRPr="00F2267D">
        <w:rPr>
          <w:rFonts w:eastAsiaTheme="minorHAnsi"/>
          <w:b/>
          <w:bCs/>
          <w:lang w:eastAsia="en-US"/>
        </w:rPr>
        <w:t>5.2.1 CONTROLE INTERNE</w:t>
      </w:r>
    </w:p>
    <w:p w:rsidR="00F2267D" w:rsidRPr="00F2267D" w:rsidRDefault="00F2267D" w:rsidP="00F2267D">
      <w:pPr>
        <w:spacing w:after="160" w:line="276" w:lineRule="auto"/>
        <w:ind w:right="284"/>
        <w:jc w:val="both"/>
        <w:rPr>
          <w:rFonts w:eastAsiaTheme="minorHAnsi"/>
          <w:b/>
          <w:lang w:eastAsia="en-US"/>
        </w:rPr>
      </w:pPr>
      <w:r w:rsidRPr="00F2267D">
        <w:rPr>
          <w:rFonts w:eastAsiaTheme="minorHAnsi"/>
          <w:b/>
          <w:lang w:eastAsia="en-US"/>
        </w:rPr>
        <w:t>5.2.1.</w:t>
      </w:r>
      <w:r w:rsidR="004D30BF">
        <w:rPr>
          <w:rFonts w:eastAsiaTheme="minorHAnsi"/>
          <w:b/>
          <w:lang w:eastAsia="en-US"/>
        </w:rPr>
        <w:t>1</w:t>
      </w:r>
      <w:r w:rsidRPr="00F2267D">
        <w:rPr>
          <w:rFonts w:eastAsiaTheme="minorHAnsi"/>
          <w:b/>
          <w:lang w:eastAsia="en-US"/>
        </w:rPr>
        <w:t xml:space="preserve"> Absence d’une base de données                                   </w:t>
      </w:r>
      <w:r w:rsidR="004D30BF">
        <w:rPr>
          <w:rFonts w:eastAsiaTheme="minorHAnsi"/>
          <w:b/>
          <w:lang w:eastAsia="en-US"/>
        </w:rPr>
        <w:t xml:space="preserve">                              </w:t>
      </w:r>
      <w:r w:rsidR="0060097F">
        <w:rPr>
          <w:rFonts w:eastAsiaTheme="minorHAnsi"/>
          <w:b/>
          <w:lang w:eastAsia="en-US"/>
        </w:rPr>
        <w:t xml:space="preserve">        </w:t>
      </w:r>
      <w:r w:rsidR="004D30BF">
        <w:rPr>
          <w:rFonts w:eastAsiaTheme="minorHAnsi"/>
          <w:b/>
          <w:lang w:eastAsia="en-US"/>
        </w:rPr>
        <w:t>(1</w:t>
      </w:r>
      <w:r w:rsidRPr="00F2267D">
        <w:rPr>
          <w:rFonts w:eastAsiaTheme="minorHAnsi"/>
          <w:b/>
          <w:lang w:eastAsia="en-US"/>
        </w:rPr>
        <w:t>/9)</w:t>
      </w:r>
    </w:p>
    <w:p w:rsidR="00F2267D" w:rsidRPr="00F2267D" w:rsidRDefault="00F2267D" w:rsidP="00F2267D">
      <w:pPr>
        <w:spacing w:after="160" w:line="276" w:lineRule="auto"/>
        <w:ind w:right="284"/>
        <w:jc w:val="both"/>
        <w:rPr>
          <w:rFonts w:eastAsiaTheme="minorHAnsi"/>
          <w:b/>
          <w:lang w:eastAsia="en-US"/>
        </w:rPr>
      </w:pPr>
      <w:r w:rsidRPr="00F2267D">
        <w:rPr>
          <w:rFonts w:eastAsiaTheme="minorHAnsi"/>
          <w:b/>
          <w:lang w:eastAsia="en-US"/>
        </w:rPr>
        <w:t>5.2.1.</w:t>
      </w:r>
      <w:r w:rsidR="004D30BF">
        <w:rPr>
          <w:rFonts w:eastAsiaTheme="minorHAnsi"/>
          <w:b/>
          <w:lang w:eastAsia="en-US"/>
        </w:rPr>
        <w:t>1</w:t>
      </w:r>
      <w:r w:rsidRPr="00F2267D">
        <w:rPr>
          <w:rFonts w:eastAsiaTheme="minorHAnsi"/>
          <w:b/>
          <w:lang w:eastAsia="en-US"/>
        </w:rPr>
        <w:t>.1 Constat</w:t>
      </w:r>
    </w:p>
    <w:p w:rsidR="00F2267D" w:rsidRPr="00F2267D" w:rsidRDefault="00F2267D" w:rsidP="00F23204">
      <w:pPr>
        <w:spacing w:after="160" w:line="276" w:lineRule="auto"/>
        <w:ind w:right="284"/>
        <w:jc w:val="both"/>
        <w:rPr>
          <w:rFonts w:eastAsiaTheme="minorHAnsi"/>
          <w:lang w:eastAsia="en-US"/>
        </w:rPr>
      </w:pPr>
      <w:r w:rsidRPr="00F2267D">
        <w:rPr>
          <w:rFonts w:eastAsiaTheme="minorHAnsi"/>
          <w:bCs/>
          <w:lang w:eastAsia="en-US"/>
        </w:rPr>
        <w:t xml:space="preserve">Cette insuffisance concerne </w:t>
      </w:r>
      <w:r w:rsidR="004D30BF">
        <w:rPr>
          <w:rFonts w:eastAsiaTheme="minorHAnsi"/>
          <w:bCs/>
          <w:lang w:eastAsia="en-US"/>
        </w:rPr>
        <w:t xml:space="preserve">la </w:t>
      </w:r>
      <w:r w:rsidRPr="00F2267D">
        <w:rPr>
          <w:rFonts w:eastAsiaTheme="minorHAnsi"/>
          <w:lang w:eastAsia="en-US"/>
        </w:rPr>
        <w:t>Direction Régionale de l’Hydraulique et d</w:t>
      </w:r>
      <w:r w:rsidR="00F23204">
        <w:rPr>
          <w:rFonts w:eastAsiaTheme="minorHAnsi"/>
          <w:lang w:eastAsia="en-US"/>
        </w:rPr>
        <w:t>e l’Assainissement de Tillaberi</w:t>
      </w:r>
    </w:p>
    <w:p w:rsidR="00F2267D" w:rsidRPr="00F2267D" w:rsidRDefault="00F2267D" w:rsidP="00F2267D">
      <w:pPr>
        <w:spacing w:after="160" w:line="276" w:lineRule="auto"/>
        <w:ind w:right="284"/>
        <w:jc w:val="both"/>
        <w:rPr>
          <w:rFonts w:eastAsiaTheme="minorHAnsi"/>
          <w:b/>
          <w:lang w:eastAsia="en-US"/>
        </w:rPr>
      </w:pPr>
      <w:r w:rsidRPr="00F2267D">
        <w:rPr>
          <w:rFonts w:eastAsiaTheme="minorHAnsi"/>
          <w:b/>
          <w:lang w:eastAsia="en-US"/>
        </w:rPr>
        <w:t>5.2.1.2.2 Recommandation</w:t>
      </w:r>
    </w:p>
    <w:p w:rsidR="00F2267D" w:rsidRPr="00F2267D" w:rsidRDefault="00F2267D" w:rsidP="00F2267D">
      <w:pPr>
        <w:jc w:val="both"/>
        <w:rPr>
          <w:color w:val="000000"/>
        </w:rPr>
      </w:pPr>
      <w:r w:rsidRPr="00F2267D">
        <w:rPr>
          <w:color w:val="000000"/>
        </w:rPr>
        <w:t>Nous recommandons à l’endroit de ces autorités contractantes la mise en place d’une base de données sur les marchés publics conformément.</w:t>
      </w:r>
    </w:p>
    <w:p w:rsidR="00F2267D" w:rsidRPr="00F2267D" w:rsidRDefault="00F2267D" w:rsidP="00F2267D">
      <w:pPr>
        <w:spacing w:after="160" w:line="276" w:lineRule="auto"/>
        <w:ind w:right="284"/>
        <w:jc w:val="both"/>
        <w:rPr>
          <w:rFonts w:eastAsiaTheme="minorHAnsi"/>
          <w:b/>
          <w:lang w:eastAsia="en-US"/>
        </w:rPr>
      </w:pPr>
    </w:p>
    <w:p w:rsidR="0060097F" w:rsidRDefault="00F2267D" w:rsidP="0060097F">
      <w:pPr>
        <w:ind w:right="284"/>
        <w:jc w:val="both"/>
        <w:rPr>
          <w:rFonts w:eastAsiaTheme="minorHAnsi"/>
          <w:b/>
          <w:lang w:eastAsia="en-US"/>
        </w:rPr>
      </w:pPr>
      <w:r w:rsidRPr="00F2267D">
        <w:rPr>
          <w:rFonts w:eastAsiaTheme="minorHAnsi"/>
          <w:b/>
          <w:lang w:eastAsia="en-US"/>
        </w:rPr>
        <w:t>5.2.1.</w:t>
      </w:r>
      <w:r w:rsidR="0060097F">
        <w:rPr>
          <w:rFonts w:eastAsiaTheme="minorHAnsi"/>
          <w:b/>
          <w:lang w:eastAsia="en-US"/>
        </w:rPr>
        <w:t>2</w:t>
      </w:r>
      <w:r w:rsidRPr="00F2267D">
        <w:rPr>
          <w:rFonts w:eastAsiaTheme="minorHAnsi"/>
          <w:b/>
          <w:lang w:eastAsia="en-US"/>
        </w:rPr>
        <w:t xml:space="preserve"> Absence de production et de transmission des rapports périodiques</w:t>
      </w:r>
    </w:p>
    <w:p w:rsidR="00F2267D" w:rsidRPr="00F2267D" w:rsidRDefault="0060097F" w:rsidP="0060097F">
      <w:pPr>
        <w:ind w:right="284"/>
        <w:jc w:val="both"/>
        <w:rPr>
          <w:rFonts w:eastAsiaTheme="minorHAnsi"/>
          <w:b/>
          <w:lang w:eastAsia="en-US"/>
        </w:rPr>
      </w:pPr>
      <w:r>
        <w:rPr>
          <w:rFonts w:eastAsiaTheme="minorHAnsi"/>
          <w:b/>
          <w:lang w:eastAsia="en-US"/>
        </w:rPr>
        <w:t xml:space="preserve">           </w:t>
      </w:r>
      <w:r w:rsidR="00F2267D" w:rsidRPr="00F2267D">
        <w:rPr>
          <w:rFonts w:eastAsiaTheme="minorHAnsi"/>
          <w:b/>
          <w:lang w:eastAsia="en-US"/>
        </w:rPr>
        <w:t xml:space="preserve"> à l’ARMP </w:t>
      </w:r>
      <w:r>
        <w:rPr>
          <w:rFonts w:eastAsiaTheme="minorHAnsi"/>
          <w:b/>
          <w:lang w:eastAsia="en-US"/>
        </w:rPr>
        <w:t xml:space="preserve">                                                                                                            </w:t>
      </w:r>
      <w:r w:rsidR="00F2267D" w:rsidRPr="00F2267D">
        <w:rPr>
          <w:rFonts w:eastAsiaTheme="minorHAnsi"/>
          <w:b/>
          <w:lang w:eastAsia="en-US"/>
        </w:rPr>
        <w:t>(9/9)</w:t>
      </w:r>
    </w:p>
    <w:p w:rsidR="00F2267D" w:rsidRPr="00F2267D" w:rsidRDefault="00F2267D" w:rsidP="00F2267D">
      <w:pPr>
        <w:spacing w:after="160" w:line="276" w:lineRule="auto"/>
        <w:ind w:right="284"/>
        <w:jc w:val="both"/>
        <w:rPr>
          <w:rFonts w:eastAsiaTheme="minorHAnsi"/>
          <w:b/>
          <w:lang w:eastAsia="en-US"/>
        </w:rPr>
      </w:pPr>
      <w:r w:rsidRPr="00F2267D">
        <w:rPr>
          <w:rFonts w:eastAsiaTheme="minorHAnsi"/>
          <w:b/>
          <w:lang w:eastAsia="en-US"/>
        </w:rPr>
        <w:t>5.2.1.</w:t>
      </w:r>
      <w:r w:rsidR="0060097F">
        <w:rPr>
          <w:rFonts w:eastAsiaTheme="minorHAnsi"/>
          <w:b/>
          <w:lang w:eastAsia="en-US"/>
        </w:rPr>
        <w:t>2</w:t>
      </w:r>
      <w:r w:rsidRPr="00F2267D">
        <w:rPr>
          <w:rFonts w:eastAsiaTheme="minorHAnsi"/>
          <w:b/>
          <w:lang w:eastAsia="en-US"/>
        </w:rPr>
        <w:t>.1 Constat</w:t>
      </w:r>
    </w:p>
    <w:p w:rsidR="00F2267D" w:rsidRPr="00F2267D" w:rsidRDefault="00F2267D" w:rsidP="00F2267D">
      <w:pPr>
        <w:spacing w:after="160" w:line="276" w:lineRule="auto"/>
        <w:ind w:right="284"/>
        <w:jc w:val="both"/>
        <w:rPr>
          <w:rFonts w:eastAsiaTheme="minorHAnsi"/>
          <w:lang w:eastAsia="en-US"/>
        </w:rPr>
      </w:pPr>
      <w:r w:rsidRPr="00F2267D">
        <w:rPr>
          <w:rFonts w:eastAsiaTheme="minorHAnsi"/>
          <w:lang w:eastAsia="en-US"/>
        </w:rPr>
        <w:t>L’absence de production et transmission de rapports périodiques à l’ARMP concerne toutes  les neuf (09) autorités contractantes du lot 1 :</w:t>
      </w:r>
    </w:p>
    <w:p w:rsidR="00F2267D" w:rsidRPr="00F2267D" w:rsidRDefault="00F2267D" w:rsidP="00F2267D">
      <w:pPr>
        <w:numPr>
          <w:ilvl w:val="0"/>
          <w:numId w:val="46"/>
        </w:numPr>
        <w:spacing w:after="160" w:line="276" w:lineRule="auto"/>
        <w:ind w:right="284"/>
        <w:contextualSpacing/>
        <w:jc w:val="both"/>
        <w:rPr>
          <w:rFonts w:eastAsiaTheme="minorHAnsi"/>
          <w:lang w:eastAsia="en-US"/>
        </w:rPr>
      </w:pPr>
      <w:r w:rsidRPr="00F2267D">
        <w:rPr>
          <w:rFonts w:eastAsiaTheme="minorHAnsi"/>
          <w:lang w:eastAsia="en-US"/>
        </w:rPr>
        <w:t>Direction Régionale de l’Hydraulique et de l’Assainissement de Tillaberi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Centrale d’Approvisionnement en Intrants et Matériels Agricoles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Ministère de l’Equipement/CAFER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Société Nigérienne des Produits Pétroliers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Office Nationale d’Edition et de Presse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Ville de Niamey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Cellule de Coordination Humanitaire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 xml:space="preserve">Haut-Commissariat à l’Aménagement de la Vallée du Niger ;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Cellule de Crise Alimentaire</w:t>
      </w:r>
    </w:p>
    <w:p w:rsidR="00F2267D" w:rsidRPr="00F2267D" w:rsidRDefault="00F2267D" w:rsidP="00F2267D">
      <w:pPr>
        <w:spacing w:after="160" w:line="276" w:lineRule="auto"/>
        <w:ind w:right="284"/>
        <w:jc w:val="both"/>
        <w:rPr>
          <w:rFonts w:eastAsiaTheme="minorHAnsi"/>
          <w:b/>
          <w:lang w:eastAsia="en-US"/>
        </w:rPr>
      </w:pPr>
      <w:r w:rsidRPr="00F2267D">
        <w:rPr>
          <w:rFonts w:eastAsiaTheme="minorHAnsi"/>
          <w:b/>
          <w:lang w:eastAsia="en-US"/>
        </w:rPr>
        <w:t>5.2.1.</w:t>
      </w:r>
      <w:r w:rsidR="0060097F">
        <w:rPr>
          <w:rFonts w:eastAsiaTheme="minorHAnsi"/>
          <w:b/>
          <w:lang w:eastAsia="en-US"/>
        </w:rPr>
        <w:t>2</w:t>
      </w:r>
      <w:r w:rsidRPr="00F2267D">
        <w:rPr>
          <w:rFonts w:eastAsiaTheme="minorHAnsi"/>
          <w:b/>
          <w:lang w:eastAsia="en-US"/>
        </w:rPr>
        <w:t>.2 Recommandation</w:t>
      </w:r>
    </w:p>
    <w:p w:rsidR="00F2267D" w:rsidRPr="0060097F" w:rsidRDefault="00F2267D" w:rsidP="0060097F">
      <w:pPr>
        <w:spacing w:after="160" w:line="276" w:lineRule="auto"/>
        <w:ind w:right="284"/>
        <w:jc w:val="both"/>
        <w:rPr>
          <w:rFonts w:eastAsiaTheme="minorHAnsi"/>
          <w:lang w:eastAsia="en-US"/>
        </w:rPr>
      </w:pPr>
      <w:r w:rsidRPr="00F2267D">
        <w:rPr>
          <w:rFonts w:eastAsiaTheme="minorHAnsi"/>
          <w:lang w:eastAsia="en-US"/>
        </w:rPr>
        <w:t>Nous recommandons que les rapports trimestriels soient établis et transmis à l’ARMP conformément à l’article 10 d</w:t>
      </w:r>
      <w:r w:rsidR="0060097F">
        <w:rPr>
          <w:rFonts w:eastAsiaTheme="minorHAnsi"/>
          <w:lang w:eastAsia="en-US"/>
        </w:rPr>
        <w:t xml:space="preserve">e l’arrêté  n°144/CAB/PM/ARMP. </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5.2.1.</w:t>
      </w:r>
      <w:r w:rsidR="0060097F">
        <w:rPr>
          <w:rFonts w:eastAsiaTheme="minorHAnsi"/>
          <w:b/>
          <w:lang w:eastAsia="en-US"/>
        </w:rPr>
        <w:t>3</w:t>
      </w:r>
      <w:r w:rsidRPr="00F2267D">
        <w:rPr>
          <w:rFonts w:eastAsiaTheme="minorHAnsi"/>
          <w:b/>
          <w:lang w:eastAsia="en-US"/>
        </w:rPr>
        <w:t xml:space="preserve"> Non-respect des délais dans le cadre de la passation des marchés public      </w:t>
      </w:r>
      <w:r w:rsidR="0060097F">
        <w:rPr>
          <w:rFonts w:eastAsiaTheme="minorHAnsi"/>
          <w:b/>
          <w:lang w:eastAsia="en-US"/>
        </w:rPr>
        <w:t xml:space="preserve">    </w:t>
      </w:r>
      <w:r w:rsidRPr="00F2267D">
        <w:rPr>
          <w:rFonts w:eastAsiaTheme="minorHAnsi"/>
          <w:b/>
          <w:lang w:eastAsia="en-US"/>
        </w:rPr>
        <w:t>(5/9)</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5.2.1.</w:t>
      </w:r>
      <w:r w:rsidR="0060097F">
        <w:rPr>
          <w:rFonts w:eastAsiaTheme="minorHAnsi"/>
          <w:b/>
          <w:lang w:eastAsia="en-US"/>
        </w:rPr>
        <w:t>3</w:t>
      </w:r>
      <w:r w:rsidRPr="00F2267D">
        <w:rPr>
          <w:rFonts w:eastAsiaTheme="minorHAnsi"/>
          <w:b/>
          <w:lang w:eastAsia="en-US"/>
        </w:rPr>
        <w:t>.1 Constats</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lastRenderedPageBreak/>
        <w:t>5.2.1.</w:t>
      </w:r>
      <w:r w:rsidR="0060097F">
        <w:rPr>
          <w:rFonts w:eastAsiaTheme="minorHAnsi"/>
          <w:b/>
          <w:lang w:eastAsia="en-US"/>
        </w:rPr>
        <w:t>3</w:t>
      </w:r>
      <w:r w:rsidRPr="00F2267D">
        <w:rPr>
          <w:rFonts w:eastAsiaTheme="minorHAnsi"/>
          <w:b/>
          <w:lang w:eastAsia="en-US"/>
        </w:rPr>
        <w:t>.1.1 Délai de publicité des plans de passation des marchés</w:t>
      </w:r>
    </w:p>
    <w:p w:rsidR="00F2267D" w:rsidRPr="00F2267D" w:rsidRDefault="00F2267D" w:rsidP="00F2267D">
      <w:pPr>
        <w:spacing w:after="160" w:line="276" w:lineRule="auto"/>
        <w:jc w:val="both"/>
        <w:rPr>
          <w:rFonts w:eastAsiaTheme="minorHAnsi"/>
          <w:i/>
          <w:lang w:eastAsia="en-US"/>
        </w:rPr>
      </w:pPr>
      <w:r w:rsidRPr="00F2267D">
        <w:rPr>
          <w:rFonts w:eastAsiaTheme="minorHAnsi"/>
          <w:lang w:eastAsia="en-US"/>
        </w:rPr>
        <w:t>Selon l’article 2 de l’arrêté 34/CAB/PM/ARMP du 21 janvier 2014 fixant les délais dans le cadre de la passation des marchés publics et des délégations de service public « …</w:t>
      </w:r>
      <w:r w:rsidRPr="00F2267D">
        <w:rPr>
          <w:rFonts w:eastAsiaTheme="minorHAnsi"/>
          <w:i/>
          <w:lang w:eastAsia="en-US"/>
        </w:rPr>
        <w:t>le plan prévisionnel de passation des marchés publics élaboré par l’autorité contractante au plus tard le 15 janvier de l’année budgétaire en cours.</w:t>
      </w:r>
    </w:p>
    <w:p w:rsidR="00F2267D" w:rsidRPr="00F2267D" w:rsidRDefault="00F2267D" w:rsidP="00F2267D">
      <w:pPr>
        <w:spacing w:after="160" w:line="276" w:lineRule="auto"/>
        <w:jc w:val="both"/>
        <w:rPr>
          <w:rFonts w:eastAsiaTheme="minorHAnsi"/>
          <w:i/>
          <w:lang w:eastAsia="en-US"/>
        </w:rPr>
      </w:pPr>
      <w:r w:rsidRPr="00F2267D">
        <w:rPr>
          <w:rFonts w:eastAsiaTheme="minorHAnsi"/>
          <w:i/>
          <w:lang w:eastAsia="en-US"/>
        </w:rPr>
        <w:t>La publication du plan prévisionnel est faite au journal des marchés publics au plus tard le 31 janvier de la même année.»</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 xml:space="preserve">La revue des dossiers par Autorité contractante à révéler que cinq (05) autorités contractantes sur neuf (09) n’ont pas respecté le délai de publication du plan prévisionnel de passation des marchés publics: </w:t>
      </w:r>
    </w:p>
    <w:p w:rsidR="00F2267D" w:rsidRPr="00F2267D" w:rsidRDefault="00F2267D" w:rsidP="00F2267D">
      <w:pPr>
        <w:numPr>
          <w:ilvl w:val="0"/>
          <w:numId w:val="45"/>
        </w:numPr>
        <w:spacing w:after="160" w:line="276" w:lineRule="auto"/>
        <w:contextualSpacing/>
        <w:jc w:val="both"/>
        <w:rPr>
          <w:rFonts w:eastAsiaTheme="minorHAnsi"/>
          <w:lang w:eastAsia="en-US"/>
        </w:rPr>
      </w:pPr>
      <w:r w:rsidRPr="00F2267D">
        <w:rPr>
          <w:rFonts w:eastAsiaTheme="minorHAnsi"/>
          <w:lang w:eastAsia="en-US"/>
        </w:rPr>
        <w:t>Haut-Commissariat à l’Aménagement de la Vallée du Niger ;</w:t>
      </w:r>
    </w:p>
    <w:p w:rsidR="00F2267D" w:rsidRPr="00F2267D" w:rsidRDefault="00F2267D" w:rsidP="00F2267D">
      <w:pPr>
        <w:numPr>
          <w:ilvl w:val="0"/>
          <w:numId w:val="45"/>
        </w:numPr>
        <w:spacing w:after="160" w:line="276" w:lineRule="auto"/>
        <w:contextualSpacing/>
        <w:jc w:val="both"/>
        <w:rPr>
          <w:rFonts w:eastAsiaTheme="minorHAnsi"/>
          <w:lang w:eastAsia="en-US"/>
        </w:rPr>
      </w:pPr>
      <w:r w:rsidRPr="00F2267D">
        <w:rPr>
          <w:rFonts w:eastAsiaTheme="minorHAnsi"/>
          <w:lang w:eastAsia="en-US"/>
        </w:rPr>
        <w:t>Centrale d’Approvisionnement en Intrants et Matériels Agricoles ;</w:t>
      </w:r>
    </w:p>
    <w:p w:rsidR="00F2267D" w:rsidRPr="00F2267D" w:rsidRDefault="00F2267D" w:rsidP="00F2267D">
      <w:pPr>
        <w:numPr>
          <w:ilvl w:val="0"/>
          <w:numId w:val="45"/>
        </w:numPr>
        <w:spacing w:after="160" w:line="276" w:lineRule="auto"/>
        <w:contextualSpacing/>
        <w:jc w:val="both"/>
        <w:rPr>
          <w:rFonts w:eastAsiaTheme="minorHAnsi"/>
          <w:lang w:eastAsia="en-US"/>
        </w:rPr>
      </w:pPr>
      <w:r w:rsidRPr="00F2267D">
        <w:rPr>
          <w:rFonts w:eastAsiaTheme="minorHAnsi"/>
          <w:lang w:eastAsia="en-US"/>
        </w:rPr>
        <w:t>Cellule de Crises Alimentaires ;</w:t>
      </w:r>
    </w:p>
    <w:p w:rsidR="00F2267D" w:rsidRPr="00F2267D" w:rsidRDefault="00F2267D" w:rsidP="00F2267D">
      <w:pPr>
        <w:numPr>
          <w:ilvl w:val="0"/>
          <w:numId w:val="45"/>
        </w:numPr>
        <w:spacing w:after="160" w:line="276" w:lineRule="auto"/>
        <w:contextualSpacing/>
        <w:jc w:val="both"/>
        <w:rPr>
          <w:rFonts w:eastAsiaTheme="minorHAnsi"/>
          <w:lang w:eastAsia="en-US"/>
        </w:rPr>
      </w:pPr>
      <w:r w:rsidRPr="00F2267D">
        <w:rPr>
          <w:rFonts w:eastAsiaTheme="minorHAnsi"/>
          <w:lang w:eastAsia="en-US"/>
        </w:rPr>
        <w:t>Cellule de Coordination Humanitaire ;</w:t>
      </w:r>
    </w:p>
    <w:p w:rsidR="00F2267D" w:rsidRDefault="00F2267D" w:rsidP="00F2267D">
      <w:pPr>
        <w:numPr>
          <w:ilvl w:val="0"/>
          <w:numId w:val="45"/>
        </w:numPr>
        <w:spacing w:after="160" w:line="276" w:lineRule="auto"/>
        <w:contextualSpacing/>
        <w:jc w:val="both"/>
        <w:rPr>
          <w:rFonts w:eastAsiaTheme="minorHAnsi"/>
          <w:lang w:eastAsia="en-US"/>
        </w:rPr>
      </w:pPr>
      <w:r w:rsidRPr="00F2267D">
        <w:rPr>
          <w:rFonts w:eastAsiaTheme="minorHAnsi"/>
          <w:lang w:eastAsia="en-US"/>
        </w:rPr>
        <w:t>Société Nigérienne des produits Pétroliers ;</w:t>
      </w:r>
    </w:p>
    <w:p w:rsidR="00156E32" w:rsidRPr="00F2267D" w:rsidRDefault="00156E32" w:rsidP="00156E32">
      <w:pPr>
        <w:spacing w:after="160" w:line="276" w:lineRule="auto"/>
        <w:ind w:left="420"/>
        <w:contextualSpacing/>
        <w:jc w:val="both"/>
        <w:rPr>
          <w:rFonts w:eastAsiaTheme="minorHAnsi"/>
          <w:lang w:eastAsia="en-US"/>
        </w:rPr>
      </w:pP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5.2.1.</w:t>
      </w:r>
      <w:r w:rsidR="0060097F">
        <w:rPr>
          <w:rFonts w:eastAsiaTheme="minorHAnsi"/>
          <w:b/>
          <w:lang w:eastAsia="en-US"/>
        </w:rPr>
        <w:t>3</w:t>
      </w:r>
      <w:r w:rsidRPr="00F2267D">
        <w:rPr>
          <w:rFonts w:eastAsiaTheme="minorHAnsi"/>
          <w:b/>
          <w:lang w:eastAsia="en-US"/>
        </w:rPr>
        <w:t xml:space="preserve">.1.2 Non-respect du délai de transmission à la DGCMP/EF des PV des commissions d’attribution </w:t>
      </w:r>
      <w:r w:rsidR="003507B8">
        <w:rPr>
          <w:rFonts w:eastAsiaTheme="minorHAnsi"/>
          <w:b/>
          <w:lang w:eastAsia="en-US"/>
        </w:rPr>
        <w:t xml:space="preserve">                                                                                                 </w:t>
      </w:r>
      <w:r w:rsidRPr="00F2267D">
        <w:rPr>
          <w:rFonts w:eastAsiaTheme="minorHAnsi"/>
          <w:b/>
          <w:lang w:eastAsia="en-US"/>
        </w:rPr>
        <w:t>(3/9)</w:t>
      </w:r>
    </w:p>
    <w:p w:rsidR="00F2267D" w:rsidRPr="00F2267D" w:rsidRDefault="00F2267D" w:rsidP="00F2267D">
      <w:pPr>
        <w:spacing w:after="160" w:line="276" w:lineRule="auto"/>
        <w:jc w:val="both"/>
        <w:rPr>
          <w:rFonts w:eastAsiaTheme="minorHAnsi"/>
          <w:b/>
          <w:i/>
          <w:lang w:eastAsia="en-US"/>
        </w:rPr>
      </w:pPr>
      <w:r w:rsidRPr="00F2267D">
        <w:rPr>
          <w:rFonts w:eastAsiaTheme="minorHAnsi"/>
          <w:lang w:eastAsia="en-US"/>
        </w:rPr>
        <w:t xml:space="preserve">L’article 12 de l’arrêté n°34/CAB/PM/ARMP du 21 janvier 2014 fixant les délais dans le cadre de passation des marchés publics et des délégations de service public stipule  que : </w:t>
      </w:r>
      <w:r w:rsidRPr="00F2267D">
        <w:rPr>
          <w:rFonts w:eastAsiaTheme="minorHAnsi"/>
          <w:i/>
          <w:lang w:eastAsia="en-US"/>
        </w:rPr>
        <w:t>le procès-verbal des travaux des commissions d’attribution ou de négociation est transmis à l’entité administrative chargée du contrôle à priori, dans les quarante (48) heures suivant la date de signature dudit procès-verbal</w:t>
      </w:r>
      <w:r w:rsidRPr="00F2267D">
        <w:rPr>
          <w:rFonts w:eastAsiaTheme="minorHAnsi"/>
          <w:lang w:eastAsia="en-US"/>
        </w:rPr>
        <w:t xml:space="preserve">. </w:t>
      </w:r>
      <w:r w:rsidRPr="00F2267D">
        <w:rPr>
          <w:rFonts w:eastAsiaTheme="minorHAnsi"/>
          <w:i/>
          <w:lang w:eastAsia="en-US"/>
        </w:rPr>
        <w:t>Après validation le procès-verbal fait l’objet d’une publication.</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La revue des dossiers par Autorité contractante à révéler que trois (03) autorités contractantes sur neuf (09) n’ont pas respecté le délai de transmission à la DGCMP/EF des PV des commissions d’attribution:</w:t>
      </w:r>
    </w:p>
    <w:p w:rsidR="00F2267D" w:rsidRPr="00F2267D" w:rsidRDefault="00F2267D" w:rsidP="00F2267D">
      <w:pPr>
        <w:numPr>
          <w:ilvl w:val="0"/>
          <w:numId w:val="46"/>
        </w:numPr>
        <w:spacing w:after="160" w:line="276" w:lineRule="auto"/>
        <w:ind w:right="284"/>
        <w:contextualSpacing/>
        <w:jc w:val="both"/>
        <w:rPr>
          <w:rFonts w:eastAsiaTheme="minorHAnsi"/>
          <w:lang w:eastAsia="en-US"/>
        </w:rPr>
      </w:pPr>
      <w:r w:rsidRPr="00F2267D">
        <w:rPr>
          <w:rFonts w:eastAsiaTheme="minorHAnsi"/>
          <w:lang w:eastAsia="en-US"/>
        </w:rPr>
        <w:t>Office National d’Edition et de Presse ;</w:t>
      </w:r>
    </w:p>
    <w:p w:rsidR="00F2267D" w:rsidRPr="00F2267D" w:rsidRDefault="00F2267D" w:rsidP="00F2267D">
      <w:pPr>
        <w:numPr>
          <w:ilvl w:val="0"/>
          <w:numId w:val="46"/>
        </w:numPr>
        <w:spacing w:after="160" w:line="276" w:lineRule="auto"/>
        <w:ind w:right="284"/>
        <w:contextualSpacing/>
        <w:jc w:val="both"/>
        <w:rPr>
          <w:rFonts w:eastAsiaTheme="minorHAnsi"/>
          <w:lang w:eastAsia="en-US"/>
        </w:rPr>
      </w:pPr>
      <w:r w:rsidRPr="00F2267D">
        <w:rPr>
          <w:rFonts w:eastAsiaTheme="minorHAnsi"/>
          <w:lang w:eastAsia="en-US"/>
        </w:rPr>
        <w:t>Central d’Approvisionnement en Intrants et Matériels Agricoles ;</w:t>
      </w:r>
    </w:p>
    <w:p w:rsidR="00F2267D" w:rsidRDefault="00F2267D" w:rsidP="00F2267D">
      <w:pPr>
        <w:numPr>
          <w:ilvl w:val="0"/>
          <w:numId w:val="46"/>
        </w:numPr>
        <w:spacing w:after="160" w:line="276" w:lineRule="auto"/>
        <w:ind w:right="284"/>
        <w:contextualSpacing/>
        <w:jc w:val="both"/>
        <w:rPr>
          <w:rFonts w:eastAsiaTheme="minorHAnsi"/>
          <w:lang w:eastAsia="en-US"/>
        </w:rPr>
      </w:pPr>
      <w:r w:rsidRPr="00F2267D">
        <w:rPr>
          <w:rFonts w:eastAsiaTheme="minorHAnsi"/>
          <w:lang w:eastAsia="en-US"/>
        </w:rPr>
        <w:t>Direction Régionale de l’Hydraulique et de l’Assainissement de Tillaberi ;</w:t>
      </w:r>
    </w:p>
    <w:p w:rsidR="00156E32" w:rsidRPr="00F2267D" w:rsidRDefault="00156E32" w:rsidP="00156E32">
      <w:pPr>
        <w:spacing w:after="160" w:line="276" w:lineRule="auto"/>
        <w:ind w:left="1353" w:right="284"/>
        <w:contextualSpacing/>
        <w:jc w:val="both"/>
        <w:rPr>
          <w:rFonts w:eastAsiaTheme="minorHAnsi"/>
          <w:lang w:eastAsia="en-US"/>
        </w:rPr>
      </w:pPr>
    </w:p>
    <w:p w:rsidR="00F2267D" w:rsidRPr="00F2267D" w:rsidRDefault="00F2267D" w:rsidP="00196F59">
      <w:pPr>
        <w:spacing w:after="160" w:line="276" w:lineRule="auto"/>
        <w:rPr>
          <w:rFonts w:eastAsiaTheme="minorHAnsi"/>
          <w:b/>
          <w:lang w:eastAsia="en-US"/>
        </w:rPr>
      </w:pPr>
      <w:r w:rsidRPr="00F2267D">
        <w:rPr>
          <w:rFonts w:eastAsiaTheme="minorHAnsi"/>
          <w:b/>
          <w:lang w:eastAsia="en-US"/>
        </w:rPr>
        <w:t>5.2.1.</w:t>
      </w:r>
      <w:r w:rsidR="0060097F">
        <w:rPr>
          <w:rFonts w:eastAsiaTheme="minorHAnsi"/>
          <w:b/>
          <w:lang w:eastAsia="en-US"/>
        </w:rPr>
        <w:t>3</w:t>
      </w:r>
      <w:r w:rsidRPr="00F2267D">
        <w:rPr>
          <w:rFonts w:eastAsiaTheme="minorHAnsi"/>
          <w:b/>
          <w:lang w:eastAsia="en-US"/>
        </w:rPr>
        <w:t xml:space="preserve">.1.3 Non-respect des délais d’information aux candidats       </w:t>
      </w:r>
      <w:r w:rsidR="009673C3">
        <w:rPr>
          <w:rFonts w:eastAsiaTheme="minorHAnsi"/>
          <w:b/>
          <w:lang w:eastAsia="en-US"/>
        </w:rPr>
        <w:t xml:space="preserve">                          </w:t>
      </w:r>
      <w:r w:rsidR="004D30BF">
        <w:rPr>
          <w:rFonts w:eastAsiaTheme="minorHAnsi"/>
          <w:b/>
          <w:lang w:eastAsia="en-US"/>
        </w:rPr>
        <w:t>(5</w:t>
      </w:r>
      <w:r w:rsidRPr="00F2267D">
        <w:rPr>
          <w:rFonts w:eastAsiaTheme="minorHAnsi"/>
          <w:b/>
          <w:lang w:eastAsia="en-US"/>
        </w:rPr>
        <w:t>/9)</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L’analyse des  délais d’information aux candidats révèle que ces délais ne sont pas respectés conformément</w:t>
      </w:r>
      <w:r w:rsidR="00156E32">
        <w:rPr>
          <w:rFonts w:eastAsiaTheme="minorHAnsi"/>
          <w:lang w:eastAsia="en-US"/>
        </w:rPr>
        <w:t xml:space="preserve">  aux dispositions de </w:t>
      </w:r>
      <w:r w:rsidRPr="00F2267D">
        <w:rPr>
          <w:rFonts w:eastAsiaTheme="minorHAnsi"/>
          <w:lang w:eastAsia="en-US"/>
        </w:rPr>
        <w:t>l’article 13 de l’arrêté 34/CAB/PM/ARMP  fixant  les délais dans le cadre du processus de passation des marchés publics. La revue des dossiers par autorité contractante fait ressortir des cas de non-respect des délais d’information aux candidats. Cette insuffisance concerne les autorités contractantes suivantes :</w:t>
      </w:r>
    </w:p>
    <w:p w:rsidR="00F2267D" w:rsidRPr="00F2267D" w:rsidRDefault="00F2267D" w:rsidP="00F2267D">
      <w:pPr>
        <w:numPr>
          <w:ilvl w:val="0"/>
          <w:numId w:val="46"/>
        </w:numPr>
        <w:spacing w:after="160" w:line="276" w:lineRule="auto"/>
        <w:ind w:right="284"/>
        <w:contextualSpacing/>
        <w:jc w:val="both"/>
        <w:rPr>
          <w:rFonts w:eastAsiaTheme="minorHAnsi"/>
          <w:lang w:eastAsia="en-US"/>
        </w:rPr>
      </w:pPr>
      <w:r w:rsidRPr="00F2267D">
        <w:rPr>
          <w:rFonts w:eastAsiaTheme="minorHAnsi"/>
          <w:lang w:eastAsia="en-US"/>
        </w:rPr>
        <w:lastRenderedPageBreak/>
        <w:t>Office National d’Edition et de Presse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Haut-Commissariat à l’Aménagement de la Vallée du Niger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Centrale d’Approvisionnement en Intrants et Matériels Agricoles ;</w:t>
      </w:r>
    </w:p>
    <w:p w:rsid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Société Nigérienne des produits Pétroliers ;</w:t>
      </w:r>
    </w:p>
    <w:p w:rsidR="004D30BF" w:rsidRPr="00F2267D" w:rsidRDefault="004D30BF" w:rsidP="004D30BF">
      <w:pPr>
        <w:numPr>
          <w:ilvl w:val="0"/>
          <w:numId w:val="46"/>
        </w:numPr>
        <w:spacing w:after="160" w:line="276" w:lineRule="auto"/>
        <w:ind w:right="284"/>
        <w:contextualSpacing/>
        <w:jc w:val="both"/>
        <w:rPr>
          <w:rFonts w:eastAsiaTheme="minorHAnsi"/>
          <w:lang w:eastAsia="en-US"/>
        </w:rPr>
      </w:pPr>
      <w:r w:rsidRPr="00F2267D">
        <w:rPr>
          <w:rFonts w:eastAsiaTheme="minorHAnsi"/>
          <w:lang w:eastAsia="en-US"/>
        </w:rPr>
        <w:t>Direction Régionale de l’Hydraulique et de l’Assainissement de Tillaberi ;</w:t>
      </w:r>
    </w:p>
    <w:p w:rsidR="004D30BF" w:rsidRDefault="004D30BF" w:rsidP="00243A1A">
      <w:pPr>
        <w:spacing w:after="160" w:line="276" w:lineRule="auto"/>
        <w:ind w:left="1353"/>
        <w:contextualSpacing/>
        <w:jc w:val="both"/>
        <w:rPr>
          <w:rFonts w:eastAsiaTheme="minorHAnsi"/>
          <w:lang w:eastAsia="en-US"/>
        </w:rPr>
      </w:pPr>
    </w:p>
    <w:p w:rsidR="00156E32" w:rsidRPr="00F2267D" w:rsidRDefault="00156E32" w:rsidP="00156E32">
      <w:pPr>
        <w:spacing w:after="160" w:line="276" w:lineRule="auto"/>
        <w:ind w:left="1353"/>
        <w:contextualSpacing/>
        <w:jc w:val="both"/>
        <w:rPr>
          <w:rFonts w:eastAsiaTheme="minorHAnsi"/>
          <w:lang w:eastAsia="en-US"/>
        </w:rPr>
      </w:pPr>
    </w:p>
    <w:p w:rsidR="00F2267D" w:rsidRPr="00F2267D" w:rsidRDefault="00F2267D" w:rsidP="009673C3">
      <w:pPr>
        <w:spacing w:after="160" w:line="276" w:lineRule="auto"/>
        <w:rPr>
          <w:rFonts w:eastAsiaTheme="minorHAnsi"/>
          <w:b/>
          <w:lang w:eastAsia="en-US"/>
        </w:rPr>
      </w:pPr>
      <w:r w:rsidRPr="00F2267D">
        <w:rPr>
          <w:rFonts w:eastAsiaTheme="minorHAnsi"/>
          <w:b/>
          <w:lang w:eastAsia="en-US"/>
        </w:rPr>
        <w:t>5.2.1.</w:t>
      </w:r>
      <w:r w:rsidR="0060097F">
        <w:rPr>
          <w:rFonts w:eastAsiaTheme="minorHAnsi"/>
          <w:b/>
          <w:lang w:eastAsia="en-US"/>
        </w:rPr>
        <w:t>3</w:t>
      </w:r>
      <w:r w:rsidRPr="00F2267D">
        <w:rPr>
          <w:rFonts w:eastAsiaTheme="minorHAnsi"/>
          <w:b/>
          <w:lang w:eastAsia="en-US"/>
        </w:rPr>
        <w:t>.1.4 Non-respect des délais de signature des marchés</w:t>
      </w:r>
      <w:r w:rsidR="009673C3">
        <w:rPr>
          <w:rFonts w:eastAsiaTheme="minorHAnsi"/>
          <w:b/>
          <w:lang w:eastAsia="en-US"/>
        </w:rPr>
        <w:t xml:space="preserve"> par l’attributaire          </w:t>
      </w:r>
      <w:r w:rsidRPr="00F2267D">
        <w:rPr>
          <w:rFonts w:eastAsiaTheme="minorHAnsi"/>
          <w:b/>
          <w:lang w:eastAsia="en-US"/>
        </w:rPr>
        <w:t>(4/9)</w:t>
      </w:r>
    </w:p>
    <w:p w:rsidR="00F2267D" w:rsidRPr="00F2267D" w:rsidRDefault="00F2267D" w:rsidP="00F2267D">
      <w:pPr>
        <w:spacing w:after="160" w:line="276" w:lineRule="auto"/>
        <w:ind w:left="360"/>
        <w:contextualSpacing/>
        <w:jc w:val="both"/>
        <w:rPr>
          <w:rFonts w:eastAsiaTheme="minorHAnsi"/>
          <w:lang w:eastAsia="en-US"/>
        </w:rPr>
      </w:pPr>
      <w:r w:rsidRPr="00F2267D">
        <w:rPr>
          <w:rFonts w:eastAsiaTheme="minorHAnsi"/>
          <w:lang w:eastAsia="en-US"/>
        </w:rPr>
        <w:t xml:space="preserve">La revue des délais de signature  des marchés a révélé le non-respect des délais pour certains  contrats conformément aux  délais définis par l’arrêté 34 CAB/PM/ARMP du 21/01/2014 fixant  les délais dans le cadre de la passation des marchés et des délégations de service public. Les </w:t>
      </w:r>
      <w:r w:rsidR="00156E32">
        <w:rPr>
          <w:rFonts w:eastAsiaTheme="minorHAnsi"/>
          <w:lang w:eastAsia="en-US"/>
        </w:rPr>
        <w:t xml:space="preserve"> autorités contractantes qui n’ont </w:t>
      </w:r>
      <w:r w:rsidRPr="00F2267D">
        <w:rPr>
          <w:rFonts w:eastAsiaTheme="minorHAnsi"/>
          <w:lang w:eastAsia="en-US"/>
        </w:rPr>
        <w:t xml:space="preserve"> pas respecté les délais de signature des marchés par l’attributaire sont les suivantes :</w:t>
      </w:r>
    </w:p>
    <w:p w:rsidR="00F2267D" w:rsidRPr="00F2267D" w:rsidRDefault="00F2267D" w:rsidP="00F2267D">
      <w:pPr>
        <w:spacing w:after="160" w:line="276" w:lineRule="auto"/>
        <w:ind w:left="360"/>
        <w:contextualSpacing/>
        <w:jc w:val="both"/>
        <w:rPr>
          <w:rFonts w:eastAsiaTheme="minorHAnsi"/>
          <w:lang w:eastAsia="en-US"/>
        </w:rPr>
      </w:pPr>
    </w:p>
    <w:p w:rsidR="00F2267D" w:rsidRPr="00F2267D" w:rsidRDefault="00F2267D" w:rsidP="00F2267D">
      <w:pPr>
        <w:numPr>
          <w:ilvl w:val="0"/>
          <w:numId w:val="46"/>
        </w:numPr>
        <w:spacing w:after="160" w:line="276" w:lineRule="auto"/>
        <w:ind w:right="284"/>
        <w:contextualSpacing/>
        <w:jc w:val="both"/>
        <w:rPr>
          <w:rFonts w:eastAsiaTheme="minorHAnsi"/>
          <w:lang w:eastAsia="en-US"/>
        </w:rPr>
      </w:pPr>
      <w:r w:rsidRPr="00F2267D">
        <w:rPr>
          <w:rFonts w:eastAsiaTheme="minorHAnsi"/>
          <w:lang w:eastAsia="en-US"/>
        </w:rPr>
        <w:t>Direction Régionale de l’Hydraulique et de l’Assainissement de Tillaberi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 xml:space="preserve">Haut-Commissariat à l’Aménagement de la Vallée du Niger ;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Centrale d’Approvisionnement en Intrants et Matériels Agricoles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Ministère de l’Equipement/CAFER</w:t>
      </w:r>
    </w:p>
    <w:p w:rsidR="00F2267D" w:rsidRPr="00F2267D" w:rsidRDefault="00F2267D" w:rsidP="00F2267D">
      <w:pPr>
        <w:spacing w:after="160" w:line="276" w:lineRule="auto"/>
        <w:ind w:left="360"/>
        <w:contextualSpacing/>
        <w:jc w:val="both"/>
        <w:rPr>
          <w:rFonts w:eastAsiaTheme="minorHAnsi"/>
          <w:lang w:eastAsia="en-US"/>
        </w:rPr>
      </w:pPr>
    </w:p>
    <w:p w:rsidR="0060097F" w:rsidRDefault="00F2267D" w:rsidP="0060097F">
      <w:pPr>
        <w:jc w:val="both"/>
        <w:rPr>
          <w:rFonts w:eastAsiaTheme="minorHAnsi"/>
          <w:b/>
          <w:bCs/>
          <w:color w:val="000000"/>
          <w:lang w:eastAsia="en-US"/>
        </w:rPr>
      </w:pPr>
      <w:r w:rsidRPr="00F2267D">
        <w:rPr>
          <w:rFonts w:eastAsiaTheme="minorHAnsi"/>
          <w:b/>
          <w:lang w:eastAsia="en-US"/>
        </w:rPr>
        <w:t>5.2.1.</w:t>
      </w:r>
      <w:r w:rsidR="0060097F">
        <w:rPr>
          <w:rFonts w:eastAsiaTheme="minorHAnsi"/>
          <w:b/>
          <w:lang w:eastAsia="en-US"/>
        </w:rPr>
        <w:t>3</w:t>
      </w:r>
      <w:r w:rsidRPr="00F2267D">
        <w:rPr>
          <w:rFonts w:eastAsiaTheme="minorHAnsi"/>
          <w:b/>
          <w:lang w:eastAsia="en-US"/>
        </w:rPr>
        <w:t xml:space="preserve">.1.5 Non-respect du délai </w:t>
      </w:r>
      <w:r w:rsidRPr="00F2267D">
        <w:rPr>
          <w:rFonts w:eastAsiaTheme="minorHAnsi"/>
          <w:b/>
          <w:bCs/>
          <w:color w:val="000000"/>
          <w:lang w:eastAsia="en-US"/>
        </w:rPr>
        <w:t>de signature des marchés par</w:t>
      </w:r>
    </w:p>
    <w:p w:rsidR="00F2267D" w:rsidRPr="00F2267D" w:rsidRDefault="00F2267D" w:rsidP="0060097F">
      <w:pPr>
        <w:jc w:val="both"/>
        <w:rPr>
          <w:rFonts w:eastAsiaTheme="minorHAnsi"/>
          <w:b/>
          <w:lang w:eastAsia="en-US"/>
        </w:rPr>
      </w:pPr>
      <w:r w:rsidRPr="00F2267D">
        <w:rPr>
          <w:rFonts w:eastAsiaTheme="minorHAnsi"/>
          <w:b/>
          <w:bCs/>
          <w:color w:val="000000"/>
          <w:lang w:eastAsia="en-US"/>
        </w:rPr>
        <w:t xml:space="preserve"> </w:t>
      </w:r>
      <w:r w:rsidR="0060097F">
        <w:rPr>
          <w:rFonts w:eastAsiaTheme="minorHAnsi"/>
          <w:b/>
          <w:bCs/>
          <w:color w:val="000000"/>
          <w:lang w:eastAsia="en-US"/>
        </w:rPr>
        <w:t xml:space="preserve">                 </w:t>
      </w:r>
      <w:r w:rsidRPr="00F2267D">
        <w:rPr>
          <w:rFonts w:eastAsiaTheme="minorHAnsi"/>
          <w:b/>
          <w:bCs/>
          <w:color w:val="000000"/>
          <w:lang w:eastAsia="en-US"/>
        </w:rPr>
        <w:t xml:space="preserve">l'Autorité Contractante </w:t>
      </w:r>
      <w:r w:rsidR="0060097F">
        <w:rPr>
          <w:rFonts w:eastAsiaTheme="minorHAnsi"/>
          <w:b/>
          <w:bCs/>
          <w:color w:val="000000"/>
          <w:lang w:eastAsia="en-US"/>
        </w:rPr>
        <w:t xml:space="preserve">                                                                                   </w:t>
      </w:r>
      <w:r w:rsidRPr="00F2267D">
        <w:rPr>
          <w:rFonts w:eastAsiaTheme="minorHAnsi"/>
          <w:b/>
          <w:bCs/>
          <w:color w:val="000000"/>
          <w:lang w:eastAsia="en-US"/>
        </w:rPr>
        <w:t>(4/9)</w:t>
      </w:r>
    </w:p>
    <w:p w:rsidR="00F2267D" w:rsidRPr="00F2267D" w:rsidRDefault="00F2267D" w:rsidP="00F2267D">
      <w:pPr>
        <w:spacing w:after="160" w:line="276" w:lineRule="auto"/>
        <w:ind w:left="360"/>
        <w:contextualSpacing/>
        <w:jc w:val="both"/>
        <w:rPr>
          <w:rFonts w:eastAsiaTheme="minorHAnsi"/>
          <w:lang w:eastAsia="en-US"/>
        </w:rPr>
      </w:pPr>
      <w:r w:rsidRPr="00F2267D">
        <w:rPr>
          <w:rFonts w:eastAsiaTheme="minorHAnsi"/>
          <w:lang w:eastAsia="en-US"/>
        </w:rPr>
        <w:t xml:space="preserve">La revue des délais </w:t>
      </w:r>
      <w:r w:rsidRPr="00F2267D">
        <w:rPr>
          <w:rFonts w:eastAsiaTheme="minorHAnsi"/>
          <w:bCs/>
          <w:color w:val="000000"/>
          <w:lang w:eastAsia="en-US"/>
        </w:rPr>
        <w:t xml:space="preserve">de signature </w:t>
      </w:r>
      <w:r w:rsidRPr="00F2267D">
        <w:rPr>
          <w:rFonts w:eastAsiaTheme="minorHAnsi"/>
          <w:lang w:eastAsia="en-US"/>
        </w:rPr>
        <w:t>des marchés</w:t>
      </w:r>
      <w:r w:rsidRPr="00F2267D">
        <w:rPr>
          <w:rFonts w:eastAsiaTheme="minorHAnsi"/>
          <w:bCs/>
          <w:color w:val="000000"/>
          <w:lang w:eastAsia="en-US"/>
        </w:rPr>
        <w:t xml:space="preserve"> par l'Autorité Contractante</w:t>
      </w:r>
      <w:r w:rsidRPr="00F2267D">
        <w:rPr>
          <w:rFonts w:eastAsiaTheme="minorHAnsi"/>
          <w:lang w:eastAsia="en-US"/>
        </w:rPr>
        <w:t xml:space="preserve"> a révélé le non-respect des délais pour certains  marchés conformément aux  délais fixés par l’arrêté 34 CAB/PM/ARMP du 21/01/2014 fixant  les délais dans le cadre de la passation des marchés et des délégations de service public. Les  autorités contractantes n’ayant pas respecté les délais de signature des marchés par l’autorité contractante sont les suivantes :</w:t>
      </w:r>
    </w:p>
    <w:p w:rsidR="00F2267D" w:rsidRPr="00F2267D" w:rsidRDefault="00F2267D" w:rsidP="00F2267D">
      <w:pPr>
        <w:spacing w:after="160" w:line="276" w:lineRule="auto"/>
        <w:ind w:left="360"/>
        <w:contextualSpacing/>
        <w:jc w:val="both"/>
        <w:rPr>
          <w:rFonts w:eastAsiaTheme="minorHAnsi"/>
          <w:lang w:eastAsia="en-US"/>
        </w:rPr>
      </w:pPr>
    </w:p>
    <w:p w:rsidR="00F2267D" w:rsidRPr="00F2267D" w:rsidRDefault="00F2267D" w:rsidP="00F2267D">
      <w:pPr>
        <w:numPr>
          <w:ilvl w:val="0"/>
          <w:numId w:val="46"/>
        </w:numPr>
        <w:spacing w:after="160" w:line="276" w:lineRule="auto"/>
        <w:ind w:right="284"/>
        <w:contextualSpacing/>
        <w:jc w:val="both"/>
        <w:rPr>
          <w:rFonts w:eastAsiaTheme="minorHAnsi"/>
          <w:lang w:eastAsia="en-US"/>
        </w:rPr>
      </w:pPr>
      <w:r w:rsidRPr="00F2267D">
        <w:rPr>
          <w:rFonts w:eastAsiaTheme="minorHAnsi"/>
          <w:lang w:eastAsia="en-US"/>
        </w:rPr>
        <w:t>Direction Régionale de l’Hydraulique et de l’Assainissement de Tillaberi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 xml:space="preserve">Haut-Commissariat à l’Aménagement de la Vallée du Niger ;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Centrale d’Approvisionnement en Intrants et Matériels Agricoles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Ministère de l’Equipement/CAFER</w:t>
      </w:r>
    </w:p>
    <w:p w:rsidR="00243A1A" w:rsidRDefault="00243A1A" w:rsidP="00F2267D">
      <w:pPr>
        <w:spacing w:after="160" w:line="276" w:lineRule="auto"/>
        <w:jc w:val="both"/>
        <w:rPr>
          <w:rFonts w:eastAsiaTheme="minorHAnsi"/>
          <w:b/>
          <w:lang w:eastAsia="en-US"/>
        </w:rPr>
      </w:pP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5.2.1.</w:t>
      </w:r>
      <w:r w:rsidR="0060097F">
        <w:rPr>
          <w:rFonts w:eastAsiaTheme="minorHAnsi"/>
          <w:b/>
          <w:lang w:eastAsia="en-US"/>
        </w:rPr>
        <w:t>3</w:t>
      </w:r>
      <w:r w:rsidRPr="00F2267D">
        <w:rPr>
          <w:rFonts w:eastAsiaTheme="minorHAnsi"/>
          <w:b/>
          <w:lang w:eastAsia="en-US"/>
        </w:rPr>
        <w:t>.2 Recommandation</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Nous recommandons le respect des  délais de différentes étapes du processus de passation des marchés conformément à l’arrêté 34/CAB/PM/ARMP du 21 janvier 2014 fixant les délais dans le cadre de la passation des marchés publics et des délégations de service public.</w:t>
      </w:r>
    </w:p>
    <w:p w:rsidR="0060097F" w:rsidRDefault="0060097F" w:rsidP="00F2267D">
      <w:pPr>
        <w:spacing w:after="160" w:line="276" w:lineRule="auto"/>
        <w:ind w:right="284"/>
        <w:jc w:val="both"/>
        <w:rPr>
          <w:rFonts w:eastAsiaTheme="minorHAnsi"/>
          <w:b/>
          <w:lang w:eastAsia="en-US"/>
        </w:rPr>
      </w:pPr>
    </w:p>
    <w:p w:rsidR="00F2267D" w:rsidRPr="00F2267D" w:rsidRDefault="00F2267D" w:rsidP="00F2267D">
      <w:pPr>
        <w:spacing w:after="160" w:line="276" w:lineRule="auto"/>
        <w:ind w:right="284"/>
        <w:jc w:val="both"/>
        <w:rPr>
          <w:rFonts w:eastAsiaTheme="minorHAnsi"/>
          <w:b/>
          <w:lang w:eastAsia="en-US"/>
        </w:rPr>
      </w:pPr>
      <w:r w:rsidRPr="00F2267D">
        <w:rPr>
          <w:rFonts w:eastAsiaTheme="minorHAnsi"/>
          <w:b/>
          <w:lang w:eastAsia="en-US"/>
        </w:rPr>
        <w:t>5.2.1.</w:t>
      </w:r>
      <w:r w:rsidR="0060097F">
        <w:rPr>
          <w:rFonts w:eastAsiaTheme="minorHAnsi"/>
          <w:b/>
          <w:lang w:eastAsia="en-US"/>
        </w:rPr>
        <w:t>4</w:t>
      </w:r>
      <w:r w:rsidRPr="00F2267D">
        <w:rPr>
          <w:rFonts w:eastAsiaTheme="minorHAnsi"/>
          <w:b/>
          <w:lang w:eastAsia="en-US"/>
        </w:rPr>
        <w:t xml:space="preserve"> Non-respect de la publication de la notification de l’attribution définitive (8/9)</w:t>
      </w:r>
    </w:p>
    <w:p w:rsidR="00F2267D" w:rsidRPr="00F2267D" w:rsidRDefault="00F2267D" w:rsidP="00F2267D">
      <w:pPr>
        <w:spacing w:after="160" w:line="276" w:lineRule="auto"/>
        <w:ind w:right="284"/>
        <w:jc w:val="both"/>
        <w:rPr>
          <w:rFonts w:eastAsiaTheme="minorHAnsi"/>
          <w:b/>
          <w:lang w:eastAsia="en-US"/>
        </w:rPr>
      </w:pPr>
      <w:r w:rsidRPr="00F2267D">
        <w:rPr>
          <w:rFonts w:eastAsiaTheme="minorHAnsi"/>
          <w:b/>
          <w:lang w:eastAsia="en-US"/>
        </w:rPr>
        <w:t>5.2.1.</w:t>
      </w:r>
      <w:r w:rsidR="0060097F">
        <w:rPr>
          <w:rFonts w:eastAsiaTheme="minorHAnsi"/>
          <w:b/>
          <w:lang w:eastAsia="en-US"/>
        </w:rPr>
        <w:t>4</w:t>
      </w:r>
      <w:r w:rsidRPr="00F2267D">
        <w:rPr>
          <w:rFonts w:eastAsiaTheme="minorHAnsi"/>
          <w:b/>
          <w:lang w:eastAsia="en-US"/>
        </w:rPr>
        <w:t>.1 Constat</w:t>
      </w:r>
    </w:p>
    <w:p w:rsidR="00F2267D" w:rsidRPr="00F2267D" w:rsidRDefault="00F2267D" w:rsidP="00F2267D">
      <w:pPr>
        <w:spacing w:after="160" w:line="276" w:lineRule="auto"/>
        <w:ind w:right="284"/>
        <w:jc w:val="both"/>
        <w:rPr>
          <w:rFonts w:eastAsiaTheme="minorHAnsi"/>
          <w:lang w:eastAsia="en-US"/>
        </w:rPr>
      </w:pPr>
      <w:r w:rsidRPr="00F2267D">
        <w:rPr>
          <w:rFonts w:eastAsiaTheme="minorHAnsi"/>
          <w:lang w:eastAsia="en-US"/>
        </w:rPr>
        <w:lastRenderedPageBreak/>
        <w:t>La vérification de la publication de l’attribution définitive a révélé l’absence de publication de l’attribution définitive conformément à l’arrêté 34/CAB/PM/ARMP du 21 janvier 2014 fixant les délais dans le cadre de la passation des marchés publics et des délégations de service public. Les autorités contractantes n’ayant pas respecté la publication de l’attribution définitive sont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 xml:space="preserve">Haut-Commissariat à l’Aménagement de la Vallée du Niger ;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Centrale d’Approvisionnement en Intrants et Matériels Agricoles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Ministère de l’Equipement/CAFER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Cellule de Crises Alimentaires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Cellule de Coordination Humanitaire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Office National d’Edition et de Presse ;</w:t>
      </w:r>
    </w:p>
    <w:p w:rsidR="00F2267D" w:rsidRPr="00F2267D" w:rsidRDefault="00F2267D" w:rsidP="00F2267D">
      <w:pPr>
        <w:numPr>
          <w:ilvl w:val="0"/>
          <w:numId w:val="46"/>
        </w:numPr>
        <w:spacing w:after="160" w:line="276" w:lineRule="auto"/>
        <w:ind w:right="284"/>
        <w:contextualSpacing/>
        <w:jc w:val="both"/>
        <w:rPr>
          <w:rFonts w:eastAsiaTheme="minorHAnsi"/>
          <w:lang w:eastAsia="en-US"/>
        </w:rPr>
      </w:pPr>
      <w:r w:rsidRPr="00F2267D">
        <w:rPr>
          <w:rFonts w:eastAsiaTheme="minorHAnsi"/>
          <w:lang w:eastAsia="en-US"/>
        </w:rPr>
        <w:t>Direction Régionale de l’Hydraulique et de l’Assainissement de Tillaberi ;</w:t>
      </w:r>
    </w:p>
    <w:p w:rsidR="00F2267D" w:rsidRPr="00156E32" w:rsidRDefault="00F2267D" w:rsidP="00156E32">
      <w:pPr>
        <w:numPr>
          <w:ilvl w:val="0"/>
          <w:numId w:val="46"/>
        </w:numPr>
        <w:spacing w:after="160" w:line="276" w:lineRule="auto"/>
        <w:contextualSpacing/>
        <w:jc w:val="both"/>
        <w:rPr>
          <w:rFonts w:eastAsiaTheme="minorHAnsi"/>
          <w:lang w:eastAsia="en-US"/>
        </w:rPr>
      </w:pPr>
      <w:r w:rsidRPr="00F2267D">
        <w:rPr>
          <w:rFonts w:eastAsiaTheme="minorHAnsi"/>
          <w:lang w:eastAsia="en-US"/>
        </w:rPr>
        <w:t>Société Nigé</w:t>
      </w:r>
      <w:r w:rsidR="00156E32">
        <w:rPr>
          <w:rFonts w:eastAsiaTheme="minorHAnsi"/>
          <w:lang w:eastAsia="en-US"/>
        </w:rPr>
        <w:t>rienne des produits Pétroliers </w:t>
      </w:r>
    </w:p>
    <w:p w:rsidR="00F2267D" w:rsidRPr="00F2267D" w:rsidRDefault="00F2267D" w:rsidP="00F2267D">
      <w:pPr>
        <w:spacing w:after="160" w:line="276" w:lineRule="auto"/>
        <w:ind w:right="284"/>
        <w:jc w:val="both"/>
        <w:rPr>
          <w:rFonts w:eastAsiaTheme="minorHAnsi"/>
          <w:b/>
          <w:lang w:eastAsia="en-US"/>
        </w:rPr>
      </w:pPr>
    </w:p>
    <w:p w:rsidR="00F2267D" w:rsidRPr="00F2267D" w:rsidRDefault="00F2267D" w:rsidP="00F2267D">
      <w:pPr>
        <w:spacing w:after="160" w:line="276" w:lineRule="auto"/>
        <w:ind w:right="284"/>
        <w:jc w:val="both"/>
        <w:rPr>
          <w:rFonts w:eastAsiaTheme="minorHAnsi"/>
          <w:b/>
          <w:lang w:eastAsia="en-US"/>
        </w:rPr>
      </w:pPr>
      <w:r w:rsidRPr="00F2267D">
        <w:rPr>
          <w:rFonts w:eastAsiaTheme="minorHAnsi"/>
          <w:b/>
          <w:lang w:eastAsia="en-US"/>
        </w:rPr>
        <w:t>5.2.1.</w:t>
      </w:r>
      <w:r w:rsidR="0060097F">
        <w:rPr>
          <w:rFonts w:eastAsiaTheme="minorHAnsi"/>
          <w:b/>
          <w:lang w:eastAsia="en-US"/>
        </w:rPr>
        <w:t>4</w:t>
      </w:r>
      <w:r w:rsidRPr="00F2267D">
        <w:rPr>
          <w:rFonts w:eastAsiaTheme="minorHAnsi"/>
          <w:b/>
          <w:lang w:eastAsia="en-US"/>
        </w:rPr>
        <w:t>.2 Recommandation</w:t>
      </w:r>
    </w:p>
    <w:p w:rsidR="00F2267D" w:rsidRPr="00156E32" w:rsidRDefault="00F2267D" w:rsidP="00F2267D">
      <w:pPr>
        <w:spacing w:after="160" w:line="276" w:lineRule="auto"/>
        <w:ind w:right="284"/>
        <w:jc w:val="both"/>
        <w:rPr>
          <w:rFonts w:eastAsiaTheme="minorHAnsi"/>
          <w:lang w:eastAsia="en-US"/>
        </w:rPr>
      </w:pPr>
      <w:r w:rsidRPr="00F2267D">
        <w:rPr>
          <w:rFonts w:eastAsiaTheme="minorHAnsi"/>
          <w:lang w:eastAsia="en-US"/>
        </w:rPr>
        <w:t>Nous recommandons la publication de la notification de l’attribution définitive des marchés conformément à l’arrêté 34/CAB/PM/ARMP du 21 janvier 2014 fixant les délais dans le cadre de la passation des marchés publics et des délégations de s</w:t>
      </w:r>
      <w:r w:rsidR="00156E32">
        <w:rPr>
          <w:rFonts w:eastAsiaTheme="minorHAnsi"/>
          <w:lang w:eastAsia="en-US"/>
        </w:rPr>
        <w:t>ervice public.</w:t>
      </w:r>
    </w:p>
    <w:p w:rsidR="00243A1A" w:rsidRDefault="00243A1A" w:rsidP="00F2267D">
      <w:pPr>
        <w:spacing w:after="160" w:line="276" w:lineRule="auto"/>
        <w:ind w:right="284"/>
        <w:jc w:val="both"/>
        <w:rPr>
          <w:rFonts w:eastAsiaTheme="minorHAnsi"/>
          <w:b/>
          <w:lang w:eastAsia="en-US"/>
        </w:rPr>
      </w:pPr>
    </w:p>
    <w:p w:rsidR="00F2267D" w:rsidRPr="00F2267D" w:rsidRDefault="00F2267D" w:rsidP="00F2267D">
      <w:pPr>
        <w:spacing w:after="160" w:line="276" w:lineRule="auto"/>
        <w:ind w:right="284"/>
        <w:jc w:val="both"/>
        <w:rPr>
          <w:rFonts w:eastAsiaTheme="minorHAnsi"/>
          <w:b/>
          <w:lang w:eastAsia="en-US"/>
        </w:rPr>
      </w:pPr>
      <w:r w:rsidRPr="00F2267D">
        <w:rPr>
          <w:rFonts w:eastAsiaTheme="minorHAnsi"/>
          <w:b/>
          <w:lang w:eastAsia="en-US"/>
        </w:rPr>
        <w:t>5.2.1.</w:t>
      </w:r>
      <w:r w:rsidR="0060097F">
        <w:rPr>
          <w:rFonts w:eastAsiaTheme="minorHAnsi"/>
          <w:b/>
          <w:lang w:eastAsia="en-US"/>
        </w:rPr>
        <w:t>5</w:t>
      </w:r>
      <w:r w:rsidRPr="00F2267D">
        <w:rPr>
          <w:rFonts w:eastAsiaTheme="minorHAnsi"/>
          <w:b/>
          <w:lang w:eastAsia="en-US"/>
        </w:rPr>
        <w:t xml:space="preserve"> Absence de Suivi de l’exécution financière des  marchés publics            (8/9)</w:t>
      </w:r>
    </w:p>
    <w:p w:rsidR="00F2267D" w:rsidRPr="00F2267D" w:rsidRDefault="00F2267D" w:rsidP="00F2267D">
      <w:pPr>
        <w:spacing w:after="160" w:line="276" w:lineRule="auto"/>
        <w:ind w:right="284"/>
        <w:jc w:val="both"/>
        <w:rPr>
          <w:rFonts w:eastAsiaTheme="minorHAnsi"/>
          <w:b/>
          <w:lang w:eastAsia="en-US"/>
        </w:rPr>
      </w:pPr>
      <w:r w:rsidRPr="00F2267D">
        <w:rPr>
          <w:rFonts w:eastAsiaTheme="minorHAnsi"/>
          <w:b/>
          <w:lang w:eastAsia="en-US"/>
        </w:rPr>
        <w:t>5.2.1.</w:t>
      </w:r>
      <w:r w:rsidR="0060097F">
        <w:rPr>
          <w:rFonts w:eastAsiaTheme="minorHAnsi"/>
          <w:b/>
          <w:lang w:eastAsia="en-US"/>
        </w:rPr>
        <w:t>5</w:t>
      </w:r>
      <w:r w:rsidRPr="00F2267D">
        <w:rPr>
          <w:rFonts w:eastAsiaTheme="minorHAnsi"/>
          <w:b/>
          <w:lang w:eastAsia="en-US"/>
        </w:rPr>
        <w:t>.1  Constat</w:t>
      </w:r>
    </w:p>
    <w:p w:rsidR="00F2267D" w:rsidRPr="00F2267D" w:rsidRDefault="00F2267D" w:rsidP="00F2267D">
      <w:pPr>
        <w:spacing w:after="160" w:line="276" w:lineRule="auto"/>
        <w:ind w:right="284"/>
        <w:jc w:val="both"/>
        <w:rPr>
          <w:rFonts w:eastAsiaTheme="minorHAnsi"/>
          <w:lang w:eastAsia="en-US"/>
        </w:rPr>
      </w:pPr>
      <w:r w:rsidRPr="00F2267D">
        <w:rPr>
          <w:rFonts w:eastAsiaTheme="minorHAnsi"/>
          <w:lang w:eastAsia="en-US"/>
        </w:rPr>
        <w:t>La revue du fonctionnement de la Direction des Marchés Publics a révélé l’absence d’un suivi des paiements des marchés publics conformément à l’article 8 de l’arrêté n°0 144/CAB/PM/ARMP du 29 juin 2012. Les autorités contractantes dont le suivi de l’exécution financière n’est pas effectif sont les suivantes :</w:t>
      </w:r>
    </w:p>
    <w:p w:rsidR="00F2267D" w:rsidRPr="00F2267D" w:rsidRDefault="00F2267D" w:rsidP="00F2267D">
      <w:pPr>
        <w:numPr>
          <w:ilvl w:val="0"/>
          <w:numId w:val="46"/>
        </w:numPr>
        <w:spacing w:after="160" w:line="276" w:lineRule="auto"/>
        <w:ind w:right="284"/>
        <w:contextualSpacing/>
        <w:jc w:val="both"/>
        <w:rPr>
          <w:rFonts w:eastAsiaTheme="minorHAnsi"/>
          <w:lang w:eastAsia="en-US"/>
        </w:rPr>
      </w:pPr>
      <w:r w:rsidRPr="00F2267D">
        <w:rPr>
          <w:rFonts w:eastAsiaTheme="minorHAnsi"/>
          <w:lang w:eastAsia="en-US"/>
        </w:rPr>
        <w:t>Direction Régionale de l’Hydraulique et de l’Assainissement de Tillaberi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Centrale d’Approvisionnement en Intrants et Matériels Agricoles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Ministère de l’Equipement/CAFER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Société Nigérienne des Produits Pétroliers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Office Nationale d’Edition et de Presse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Ville de Niamey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Cellule de Coordination Humanitaire ;</w:t>
      </w:r>
    </w:p>
    <w:p w:rsid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 xml:space="preserve">Haut-Commissariat à l’Aménagement de la Vallée du Niger ; </w:t>
      </w:r>
    </w:p>
    <w:p w:rsidR="00156E32" w:rsidRPr="00F2267D" w:rsidRDefault="00156E32" w:rsidP="00243A1A">
      <w:pPr>
        <w:spacing w:after="160" w:line="276" w:lineRule="auto"/>
        <w:ind w:left="1353"/>
        <w:contextualSpacing/>
        <w:jc w:val="both"/>
        <w:rPr>
          <w:rFonts w:eastAsiaTheme="minorHAnsi"/>
          <w:lang w:eastAsia="en-US"/>
        </w:rPr>
      </w:pPr>
    </w:p>
    <w:p w:rsidR="00F2267D" w:rsidRPr="00F2267D" w:rsidRDefault="00F2267D" w:rsidP="00F2267D">
      <w:pPr>
        <w:spacing w:after="160" w:line="276" w:lineRule="auto"/>
        <w:ind w:right="284"/>
        <w:jc w:val="both"/>
        <w:rPr>
          <w:rFonts w:eastAsiaTheme="minorHAnsi"/>
          <w:b/>
          <w:lang w:eastAsia="en-US"/>
        </w:rPr>
      </w:pPr>
      <w:r w:rsidRPr="00F2267D">
        <w:rPr>
          <w:rFonts w:eastAsiaTheme="minorHAnsi"/>
          <w:b/>
          <w:lang w:eastAsia="en-US"/>
        </w:rPr>
        <w:t>5.2.1.</w:t>
      </w:r>
      <w:r w:rsidR="0060097F">
        <w:rPr>
          <w:rFonts w:eastAsiaTheme="minorHAnsi"/>
          <w:b/>
          <w:lang w:eastAsia="en-US"/>
        </w:rPr>
        <w:t>5</w:t>
      </w:r>
      <w:r w:rsidRPr="00F2267D">
        <w:rPr>
          <w:rFonts w:eastAsiaTheme="minorHAnsi"/>
          <w:b/>
          <w:lang w:eastAsia="en-US"/>
        </w:rPr>
        <w:t>.2 Recommandation</w:t>
      </w:r>
    </w:p>
    <w:p w:rsidR="00F2267D" w:rsidRPr="00F2267D" w:rsidRDefault="00F2267D" w:rsidP="00F2267D">
      <w:pPr>
        <w:spacing w:after="160" w:line="276" w:lineRule="auto"/>
        <w:ind w:right="284"/>
        <w:jc w:val="both"/>
        <w:rPr>
          <w:rFonts w:eastAsiaTheme="minorHAnsi"/>
          <w:b/>
          <w:lang w:eastAsia="en-US"/>
        </w:rPr>
      </w:pPr>
      <w:r w:rsidRPr="00F2267D">
        <w:rPr>
          <w:rFonts w:eastAsiaTheme="minorHAnsi"/>
          <w:lang w:eastAsia="en-US"/>
        </w:rPr>
        <w:t xml:space="preserve">Nous recommandons à la Direction des Marchés Publics d’assurer le suivi régulier de la liquidation et du paiement des avances, décomptes des marchés, factures, mémos et autres </w:t>
      </w:r>
      <w:r w:rsidRPr="00F2267D">
        <w:rPr>
          <w:rFonts w:eastAsiaTheme="minorHAnsi"/>
          <w:lang w:eastAsia="en-US"/>
        </w:rPr>
        <w:lastRenderedPageBreak/>
        <w:t xml:space="preserve">notes des titulaires de marchés publics conformément à l’article 8 de l’arrêté n°0144/CAB/PM/ARMP du 29 juin 2012.  </w:t>
      </w:r>
    </w:p>
    <w:p w:rsidR="00F2267D" w:rsidRPr="00F2267D" w:rsidRDefault="00F2267D" w:rsidP="00F2267D">
      <w:pPr>
        <w:spacing w:after="160" w:line="276" w:lineRule="auto"/>
        <w:jc w:val="both"/>
        <w:rPr>
          <w:rFonts w:eastAsiaTheme="minorHAnsi"/>
          <w:lang w:eastAsia="en-US"/>
        </w:rPr>
      </w:pPr>
    </w:p>
    <w:p w:rsidR="00F2267D" w:rsidRPr="00F2267D" w:rsidRDefault="00F2267D" w:rsidP="00F2267D">
      <w:pPr>
        <w:spacing w:after="160" w:line="276" w:lineRule="auto"/>
        <w:jc w:val="both"/>
        <w:rPr>
          <w:rFonts w:eastAsiaTheme="minorHAnsi"/>
          <w:lang w:eastAsia="en-US"/>
        </w:rPr>
      </w:pPr>
    </w:p>
    <w:p w:rsidR="0060097F" w:rsidRDefault="00F2267D" w:rsidP="0060097F">
      <w:pPr>
        <w:jc w:val="both"/>
        <w:rPr>
          <w:rFonts w:eastAsiaTheme="minorHAnsi"/>
          <w:b/>
          <w:lang w:eastAsia="en-US"/>
        </w:rPr>
      </w:pPr>
      <w:r w:rsidRPr="00F2267D">
        <w:rPr>
          <w:rFonts w:eastAsiaTheme="minorHAnsi"/>
          <w:b/>
          <w:lang w:eastAsia="en-US"/>
        </w:rPr>
        <w:t>5.2.1.</w:t>
      </w:r>
      <w:r w:rsidR="0060097F">
        <w:rPr>
          <w:rFonts w:eastAsiaTheme="minorHAnsi"/>
          <w:b/>
          <w:lang w:eastAsia="en-US"/>
        </w:rPr>
        <w:t>6</w:t>
      </w:r>
      <w:r w:rsidRPr="00F2267D">
        <w:rPr>
          <w:rFonts w:eastAsiaTheme="minorHAnsi"/>
          <w:b/>
          <w:lang w:eastAsia="en-US"/>
        </w:rPr>
        <w:t xml:space="preserve"> Insuffisance dans l’archivage de la documentation sur </w:t>
      </w:r>
    </w:p>
    <w:p w:rsidR="00F2267D" w:rsidRPr="00F2267D" w:rsidRDefault="0060097F" w:rsidP="0060097F">
      <w:pPr>
        <w:jc w:val="both"/>
        <w:rPr>
          <w:rFonts w:eastAsiaTheme="minorHAnsi"/>
          <w:b/>
          <w:lang w:eastAsia="en-US"/>
        </w:rPr>
      </w:pPr>
      <w:r>
        <w:rPr>
          <w:rFonts w:eastAsiaTheme="minorHAnsi"/>
          <w:b/>
          <w:lang w:eastAsia="en-US"/>
        </w:rPr>
        <w:t xml:space="preserve">            </w:t>
      </w:r>
      <w:r w:rsidR="00F2267D" w:rsidRPr="00F2267D">
        <w:rPr>
          <w:rFonts w:eastAsiaTheme="minorHAnsi"/>
          <w:b/>
          <w:lang w:eastAsia="en-US"/>
        </w:rPr>
        <w:t xml:space="preserve">la passation des marchés </w:t>
      </w:r>
      <w:r>
        <w:rPr>
          <w:rFonts w:eastAsiaTheme="minorHAnsi"/>
          <w:b/>
          <w:lang w:eastAsia="en-US"/>
        </w:rPr>
        <w:t xml:space="preserve">                                                                                       </w:t>
      </w:r>
      <w:r w:rsidR="00F2267D" w:rsidRPr="00F2267D">
        <w:rPr>
          <w:rFonts w:eastAsiaTheme="minorHAnsi"/>
          <w:b/>
          <w:lang w:eastAsia="en-US"/>
        </w:rPr>
        <w:t>(9/9)</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5.2.1.</w:t>
      </w:r>
      <w:r w:rsidR="0060097F">
        <w:rPr>
          <w:rFonts w:eastAsiaTheme="minorHAnsi"/>
          <w:b/>
          <w:lang w:eastAsia="en-US"/>
        </w:rPr>
        <w:t>6</w:t>
      </w:r>
      <w:r w:rsidRPr="00F2267D">
        <w:rPr>
          <w:rFonts w:eastAsiaTheme="minorHAnsi"/>
          <w:b/>
          <w:lang w:eastAsia="en-US"/>
        </w:rPr>
        <w:t>.1 Constats</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La revue des dossiers de marchés a révélé l’absence d’archivage  des documents dans les neuf (09) autorités contractantes contrairement à l’article 4 de l’arrêté n°0144/CAB/PM/ARMP du 29 juin 2012 portant  attribution des divisions des marchés publics</w:t>
      </w:r>
    </w:p>
    <w:p w:rsidR="00F2267D" w:rsidRPr="00F2267D" w:rsidRDefault="00F2267D" w:rsidP="00F2267D">
      <w:pPr>
        <w:numPr>
          <w:ilvl w:val="0"/>
          <w:numId w:val="46"/>
        </w:numPr>
        <w:spacing w:after="160" w:line="276" w:lineRule="auto"/>
        <w:ind w:right="284"/>
        <w:contextualSpacing/>
        <w:jc w:val="both"/>
        <w:rPr>
          <w:rFonts w:eastAsiaTheme="minorHAnsi"/>
          <w:lang w:eastAsia="en-US"/>
        </w:rPr>
      </w:pPr>
      <w:r w:rsidRPr="00F2267D">
        <w:rPr>
          <w:rFonts w:eastAsiaTheme="minorHAnsi"/>
          <w:lang w:eastAsia="en-US"/>
        </w:rPr>
        <w:t>Direction Régionale de l’Hydraulique et de l’Assainissement de Tillaberi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Centrale d’Approvisionnement en Intrants et Matériels Agricoles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Ministère de l’Equipement/CAFER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Société Nigérienne des Produits Pétroliers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Office Nationale d’Edition et de Presse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Ville de Niamey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Cellule de Coordination Humanitaire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 xml:space="preserve">Haut-Commissariat à l’Aménagement de la Vallée du Niger ;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Cellule de Crise Alimentaire</w:t>
      </w:r>
    </w:p>
    <w:p w:rsidR="00156E32" w:rsidRDefault="00156E32" w:rsidP="00F2267D">
      <w:pPr>
        <w:spacing w:after="160" w:line="276" w:lineRule="auto"/>
        <w:jc w:val="both"/>
        <w:rPr>
          <w:rFonts w:eastAsiaTheme="minorHAnsi"/>
          <w:b/>
          <w:color w:val="000000"/>
          <w:lang w:eastAsia="en-US"/>
        </w:rPr>
      </w:pPr>
    </w:p>
    <w:p w:rsidR="00F2267D" w:rsidRPr="00F2267D" w:rsidRDefault="00F2267D" w:rsidP="00F2267D">
      <w:pPr>
        <w:spacing w:after="160" w:line="276" w:lineRule="auto"/>
        <w:jc w:val="both"/>
        <w:rPr>
          <w:rFonts w:eastAsiaTheme="minorHAnsi"/>
          <w:b/>
          <w:color w:val="000000"/>
          <w:lang w:eastAsia="en-US"/>
        </w:rPr>
      </w:pPr>
      <w:r w:rsidRPr="00F2267D">
        <w:rPr>
          <w:rFonts w:eastAsiaTheme="minorHAnsi"/>
          <w:b/>
          <w:color w:val="000000"/>
          <w:lang w:eastAsia="en-US"/>
        </w:rPr>
        <w:t>5.2.1.</w:t>
      </w:r>
      <w:r w:rsidR="0060097F">
        <w:rPr>
          <w:rFonts w:eastAsiaTheme="minorHAnsi"/>
          <w:b/>
          <w:color w:val="000000"/>
          <w:lang w:eastAsia="en-US"/>
        </w:rPr>
        <w:t>6</w:t>
      </w:r>
      <w:r w:rsidRPr="00F2267D">
        <w:rPr>
          <w:rFonts w:eastAsiaTheme="minorHAnsi"/>
          <w:b/>
          <w:color w:val="000000"/>
          <w:lang w:eastAsia="en-US"/>
        </w:rPr>
        <w:t>.2  Recommandation</w:t>
      </w:r>
    </w:p>
    <w:p w:rsidR="00F2267D" w:rsidRDefault="00F2267D" w:rsidP="00F2267D">
      <w:pPr>
        <w:spacing w:after="160" w:line="276" w:lineRule="auto"/>
        <w:jc w:val="both"/>
        <w:rPr>
          <w:rFonts w:eastAsiaTheme="minorHAnsi"/>
          <w:b/>
          <w:lang w:eastAsia="en-US"/>
        </w:rPr>
      </w:pPr>
      <w:r w:rsidRPr="00F2267D">
        <w:rPr>
          <w:rFonts w:eastAsiaTheme="minorHAnsi"/>
          <w:color w:val="000000"/>
          <w:lang w:eastAsia="en-US"/>
        </w:rPr>
        <w:t xml:space="preserve">Nous recommandons un </w:t>
      </w:r>
      <w:r w:rsidRPr="00F2267D">
        <w:rPr>
          <w:rFonts w:eastAsiaTheme="minorHAnsi"/>
          <w:lang w:eastAsia="en-US"/>
        </w:rPr>
        <w:t>archivage adéquat de toutes les pièces entrant dans le cadre des passations des marchés conformément à l’article 4 de l’arrêté n°0144/CAB/PM/ARMP du 29 juin 2012 portant  attribution des divisions des marchés publics </w:t>
      </w:r>
    </w:p>
    <w:p w:rsidR="00243A1A" w:rsidRDefault="00243A1A" w:rsidP="00F2267D">
      <w:pPr>
        <w:spacing w:after="160" w:line="276" w:lineRule="auto"/>
        <w:ind w:right="284"/>
        <w:jc w:val="both"/>
        <w:rPr>
          <w:rFonts w:eastAsiaTheme="minorHAnsi"/>
          <w:b/>
          <w:lang w:eastAsia="en-US"/>
        </w:rPr>
      </w:pPr>
    </w:p>
    <w:p w:rsidR="00F2267D" w:rsidRPr="00F2267D" w:rsidRDefault="00F2267D" w:rsidP="00F2267D">
      <w:pPr>
        <w:spacing w:after="160" w:line="276" w:lineRule="auto"/>
        <w:ind w:right="284"/>
        <w:jc w:val="both"/>
        <w:rPr>
          <w:rFonts w:eastAsiaTheme="minorHAnsi"/>
          <w:b/>
          <w:lang w:eastAsia="en-US"/>
        </w:rPr>
      </w:pPr>
      <w:r w:rsidRPr="00F2267D">
        <w:rPr>
          <w:rFonts w:eastAsiaTheme="minorHAnsi"/>
          <w:b/>
          <w:lang w:eastAsia="en-US"/>
        </w:rPr>
        <w:t>5.2.1.</w:t>
      </w:r>
      <w:r w:rsidR="0060097F">
        <w:rPr>
          <w:rFonts w:eastAsiaTheme="minorHAnsi"/>
          <w:b/>
          <w:lang w:eastAsia="en-US"/>
        </w:rPr>
        <w:t>7</w:t>
      </w:r>
      <w:r w:rsidRPr="00F2267D">
        <w:rPr>
          <w:rFonts w:eastAsiaTheme="minorHAnsi"/>
          <w:b/>
          <w:lang w:eastAsia="en-US"/>
        </w:rPr>
        <w:t xml:space="preserve"> Existence de crédit budgétaire suffisant avant la publication de l’avis d’appel d’offres</w:t>
      </w:r>
      <w:r w:rsidR="0060097F">
        <w:rPr>
          <w:rFonts w:eastAsiaTheme="minorHAnsi"/>
          <w:b/>
          <w:lang w:eastAsia="en-US"/>
        </w:rPr>
        <w:t xml:space="preserve">                                                                                                                            </w:t>
      </w:r>
      <w:r w:rsidRPr="00F2267D">
        <w:rPr>
          <w:rFonts w:eastAsiaTheme="minorHAnsi"/>
          <w:b/>
          <w:lang w:eastAsia="en-US"/>
        </w:rPr>
        <w:t xml:space="preserve"> (9/9)</w:t>
      </w:r>
    </w:p>
    <w:p w:rsidR="00F2267D" w:rsidRPr="00F2267D" w:rsidRDefault="00F2267D" w:rsidP="00F2267D">
      <w:pPr>
        <w:spacing w:after="160" w:line="276" w:lineRule="auto"/>
        <w:ind w:right="284"/>
        <w:jc w:val="both"/>
        <w:rPr>
          <w:rFonts w:eastAsiaTheme="minorHAnsi"/>
          <w:b/>
          <w:lang w:eastAsia="en-US"/>
        </w:rPr>
      </w:pPr>
      <w:r w:rsidRPr="00F2267D">
        <w:rPr>
          <w:rFonts w:eastAsiaTheme="minorHAnsi"/>
          <w:b/>
          <w:lang w:eastAsia="en-US"/>
        </w:rPr>
        <w:t>5.2.1.</w:t>
      </w:r>
      <w:r w:rsidR="0060097F">
        <w:rPr>
          <w:rFonts w:eastAsiaTheme="minorHAnsi"/>
          <w:b/>
          <w:lang w:eastAsia="en-US"/>
        </w:rPr>
        <w:t>7</w:t>
      </w:r>
      <w:r w:rsidRPr="00F2267D">
        <w:rPr>
          <w:rFonts w:eastAsiaTheme="minorHAnsi"/>
          <w:b/>
          <w:lang w:eastAsia="en-US"/>
        </w:rPr>
        <w:t xml:space="preserve">.1 Constat </w:t>
      </w:r>
    </w:p>
    <w:p w:rsidR="00F2267D" w:rsidRPr="00F2267D" w:rsidRDefault="00F2267D" w:rsidP="00F2267D">
      <w:pPr>
        <w:spacing w:after="160" w:line="276" w:lineRule="auto"/>
        <w:ind w:right="284"/>
        <w:jc w:val="both"/>
        <w:rPr>
          <w:rFonts w:eastAsiaTheme="minorHAnsi"/>
          <w:b/>
          <w:highlight w:val="yellow"/>
          <w:lang w:eastAsia="en-US"/>
        </w:rPr>
      </w:pPr>
      <w:r w:rsidRPr="00F2267D">
        <w:rPr>
          <w:rFonts w:eastAsiaTheme="minorHAnsi"/>
          <w:color w:val="000000"/>
          <w:lang w:eastAsia="en-US"/>
        </w:rPr>
        <w:t>Le décret n°2013-569/PRN/PM du 20 décembre 2013 portant code des marchés publics et des délégations de service public stipule en son article 98 que : </w:t>
      </w:r>
      <w:r w:rsidRPr="00F2267D">
        <w:rPr>
          <w:rFonts w:eastAsiaTheme="minorHAnsi"/>
          <w:i/>
          <w:color w:val="000000"/>
          <w:lang w:eastAsia="en-US"/>
        </w:rPr>
        <w:t>«  avant la signature de tout marché, les services compétents de l’autorité contractante doivent fournir à leurs cocontractants la preuve que les crédits prévus sont disponibles et ont été réservés à cet effet ».</w:t>
      </w:r>
    </w:p>
    <w:p w:rsidR="00F2267D" w:rsidRPr="00F2267D" w:rsidRDefault="00F2267D" w:rsidP="00F2267D">
      <w:pPr>
        <w:spacing w:after="160" w:line="276" w:lineRule="auto"/>
        <w:ind w:right="284"/>
        <w:jc w:val="both"/>
        <w:rPr>
          <w:rFonts w:eastAsiaTheme="minorHAnsi"/>
          <w:lang w:eastAsia="en-US"/>
        </w:rPr>
      </w:pPr>
      <w:r w:rsidRPr="00F2267D">
        <w:rPr>
          <w:rFonts w:eastAsiaTheme="minorHAnsi"/>
          <w:lang w:eastAsia="en-US"/>
        </w:rPr>
        <w:t>La revue des dossiers de marché a révélé l’absence de document justifiant l’existence de crédit budgétaire suffisant avant la publication de l’avis d’appel d’offres par les neuf (09) autorités contractantes.</w:t>
      </w:r>
    </w:p>
    <w:p w:rsidR="00F2267D" w:rsidRPr="00F2267D" w:rsidRDefault="00F2267D" w:rsidP="00F2267D">
      <w:pPr>
        <w:numPr>
          <w:ilvl w:val="0"/>
          <w:numId w:val="46"/>
        </w:numPr>
        <w:spacing w:after="160" w:line="276" w:lineRule="auto"/>
        <w:ind w:right="284"/>
        <w:contextualSpacing/>
        <w:jc w:val="both"/>
        <w:rPr>
          <w:rFonts w:eastAsiaTheme="minorHAnsi"/>
          <w:lang w:eastAsia="en-US"/>
        </w:rPr>
      </w:pPr>
      <w:r w:rsidRPr="00F2267D">
        <w:rPr>
          <w:rFonts w:eastAsiaTheme="minorHAnsi"/>
          <w:lang w:eastAsia="en-US"/>
        </w:rPr>
        <w:lastRenderedPageBreak/>
        <w:t>Direction Régionale de l’Hydraulique et de l’Assainissement de Tillaberi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Centrale d’Approvisionnement en Intrants et Matériels Agricoles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Ministère de l’Equipement/CAFER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Société Nigérienne des Produits Pétroliers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Office Nationale d’Edition et de Presse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Ville de Niamey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Cellule de Coordination Humanitaire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 xml:space="preserve">Haut-Commissariat à l’Aménagement de la Vallée du Niger ;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Cellule de Crise Alimentaire</w:t>
      </w:r>
    </w:p>
    <w:p w:rsidR="00F2267D" w:rsidRPr="00F2267D" w:rsidRDefault="00F2267D" w:rsidP="00F2267D">
      <w:pPr>
        <w:spacing w:after="160" w:line="276" w:lineRule="auto"/>
        <w:ind w:right="284"/>
        <w:jc w:val="both"/>
        <w:rPr>
          <w:rFonts w:eastAsiaTheme="minorHAnsi"/>
          <w:b/>
          <w:lang w:eastAsia="en-US"/>
        </w:rPr>
      </w:pPr>
      <w:r w:rsidRPr="00F2267D">
        <w:rPr>
          <w:rFonts w:eastAsiaTheme="minorHAnsi"/>
          <w:b/>
          <w:lang w:eastAsia="en-US"/>
        </w:rPr>
        <w:t>5.2.1.</w:t>
      </w:r>
      <w:r w:rsidR="0060097F">
        <w:rPr>
          <w:rFonts w:eastAsiaTheme="minorHAnsi"/>
          <w:b/>
          <w:lang w:eastAsia="en-US"/>
        </w:rPr>
        <w:t>7</w:t>
      </w:r>
      <w:r w:rsidRPr="00F2267D">
        <w:rPr>
          <w:rFonts w:eastAsiaTheme="minorHAnsi"/>
          <w:b/>
          <w:lang w:eastAsia="en-US"/>
        </w:rPr>
        <w:t>.2 Recommandation</w:t>
      </w:r>
    </w:p>
    <w:p w:rsidR="00F2267D" w:rsidRPr="0060097F" w:rsidRDefault="00F2267D" w:rsidP="0060097F">
      <w:pPr>
        <w:spacing w:after="160" w:line="276" w:lineRule="auto"/>
        <w:ind w:right="284"/>
        <w:jc w:val="both"/>
        <w:rPr>
          <w:rFonts w:eastAsiaTheme="minorHAnsi"/>
          <w:lang w:eastAsia="en-US"/>
        </w:rPr>
      </w:pPr>
      <w:r w:rsidRPr="00F2267D">
        <w:rPr>
          <w:rFonts w:eastAsiaTheme="minorHAnsi"/>
          <w:lang w:eastAsia="en-US"/>
        </w:rPr>
        <w:t>Nous recommandons à l’autorité contractante de formaliser et documenter  l’existence de crédit budgétaire avant la publicatio</w:t>
      </w:r>
      <w:r w:rsidR="0060097F">
        <w:rPr>
          <w:rFonts w:eastAsiaTheme="minorHAnsi"/>
          <w:lang w:eastAsia="en-US"/>
        </w:rPr>
        <w:t>n d’un avis d’appel d’offres.</w:t>
      </w:r>
    </w:p>
    <w:p w:rsidR="0060097F" w:rsidRDefault="0060097F" w:rsidP="00F2267D">
      <w:pPr>
        <w:spacing w:after="160" w:line="276" w:lineRule="auto"/>
        <w:jc w:val="both"/>
        <w:rPr>
          <w:rFonts w:eastAsiaTheme="minorHAnsi"/>
          <w:b/>
          <w:lang w:eastAsia="en-US"/>
        </w:rPr>
      </w:pP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5.2.1.</w:t>
      </w:r>
      <w:r w:rsidR="0060097F">
        <w:rPr>
          <w:rFonts w:eastAsiaTheme="minorHAnsi"/>
          <w:b/>
          <w:lang w:eastAsia="en-US"/>
        </w:rPr>
        <w:t>8</w:t>
      </w:r>
      <w:r w:rsidRPr="00F2267D">
        <w:rPr>
          <w:rFonts w:eastAsiaTheme="minorHAnsi"/>
          <w:b/>
          <w:lang w:eastAsia="en-US"/>
        </w:rPr>
        <w:t xml:space="preserve"> Absence d’un texte règlementaire pour la mise en place des commissions de réception des marchés</w:t>
      </w:r>
      <w:r w:rsidR="00156E32">
        <w:rPr>
          <w:rFonts w:eastAsiaTheme="minorHAnsi"/>
          <w:b/>
          <w:lang w:eastAsia="en-US"/>
        </w:rPr>
        <w:tab/>
      </w:r>
      <w:r w:rsidR="00156E32">
        <w:rPr>
          <w:rFonts w:eastAsiaTheme="minorHAnsi"/>
          <w:b/>
          <w:lang w:eastAsia="en-US"/>
        </w:rPr>
        <w:tab/>
      </w:r>
      <w:r w:rsidR="00156E32">
        <w:rPr>
          <w:rFonts w:eastAsiaTheme="minorHAnsi"/>
          <w:b/>
          <w:lang w:eastAsia="en-US"/>
        </w:rPr>
        <w:tab/>
      </w:r>
      <w:r w:rsidR="00156E32">
        <w:rPr>
          <w:rFonts w:eastAsiaTheme="minorHAnsi"/>
          <w:b/>
          <w:lang w:eastAsia="en-US"/>
        </w:rPr>
        <w:tab/>
      </w:r>
      <w:r w:rsidR="00156E32">
        <w:rPr>
          <w:rFonts w:eastAsiaTheme="minorHAnsi"/>
          <w:b/>
          <w:lang w:eastAsia="en-US"/>
        </w:rPr>
        <w:tab/>
      </w:r>
      <w:r w:rsidR="00156E32">
        <w:rPr>
          <w:rFonts w:eastAsiaTheme="minorHAnsi"/>
          <w:b/>
          <w:lang w:eastAsia="en-US"/>
        </w:rPr>
        <w:tab/>
      </w:r>
      <w:r w:rsidR="00156E32">
        <w:rPr>
          <w:rFonts w:eastAsiaTheme="minorHAnsi"/>
          <w:b/>
          <w:lang w:eastAsia="en-US"/>
        </w:rPr>
        <w:tab/>
      </w:r>
      <w:r w:rsidR="00156E32">
        <w:rPr>
          <w:rFonts w:eastAsiaTheme="minorHAnsi"/>
          <w:b/>
          <w:lang w:eastAsia="en-US"/>
        </w:rPr>
        <w:tab/>
      </w:r>
      <w:r w:rsidR="00156E32">
        <w:rPr>
          <w:rFonts w:eastAsiaTheme="minorHAnsi"/>
          <w:b/>
          <w:lang w:eastAsia="en-US"/>
        </w:rPr>
        <w:tab/>
      </w:r>
      <w:r w:rsidRPr="00F2267D">
        <w:rPr>
          <w:rFonts w:eastAsiaTheme="minorHAnsi"/>
          <w:b/>
          <w:lang w:eastAsia="en-US"/>
        </w:rPr>
        <w:t xml:space="preserve"> (9/9)</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5.2.1.</w:t>
      </w:r>
      <w:r w:rsidR="0060097F">
        <w:rPr>
          <w:rFonts w:eastAsiaTheme="minorHAnsi"/>
          <w:b/>
          <w:lang w:eastAsia="en-US"/>
        </w:rPr>
        <w:t>8</w:t>
      </w:r>
      <w:r w:rsidRPr="00F2267D">
        <w:rPr>
          <w:rFonts w:eastAsiaTheme="minorHAnsi"/>
          <w:b/>
          <w:lang w:eastAsia="en-US"/>
        </w:rPr>
        <w:t>.1 Constat</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La revue de la mise en place des commissions de réception a révélé l’absence  de texte règlementaire de mise en place des commissions de réception. Cette insuffisance concerne toutes les autorités contractantes du lot 2</w:t>
      </w:r>
    </w:p>
    <w:p w:rsidR="00F2267D" w:rsidRPr="00F2267D" w:rsidRDefault="00F2267D" w:rsidP="00F2267D">
      <w:pPr>
        <w:numPr>
          <w:ilvl w:val="0"/>
          <w:numId w:val="46"/>
        </w:numPr>
        <w:spacing w:after="160" w:line="276" w:lineRule="auto"/>
        <w:ind w:right="284"/>
        <w:contextualSpacing/>
        <w:jc w:val="both"/>
        <w:rPr>
          <w:rFonts w:eastAsiaTheme="minorHAnsi"/>
          <w:lang w:eastAsia="en-US"/>
        </w:rPr>
      </w:pPr>
      <w:r w:rsidRPr="00F2267D">
        <w:rPr>
          <w:rFonts w:eastAsiaTheme="minorHAnsi"/>
          <w:lang w:eastAsia="en-US"/>
        </w:rPr>
        <w:t>Direction Régionale de l’Hydraulique et de l’Assainissement de Tillaberi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Centrale d’Approvisionnement en Intrants et Matériels Agricoles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Ministère de l’Equipement/CAFER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Société Nigérienne des Produits Pétroliers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Office Nationale d’Edition et de Presse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Ville de Niamey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Cellule de Coordination Humanitaire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 xml:space="preserve">Haut-Commissariat à l’Aménagement de la Vallée du Niger ;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Cellule de Crise Alimentaire</w:t>
      </w:r>
    </w:p>
    <w:p w:rsidR="00F2267D" w:rsidRPr="00F2267D" w:rsidRDefault="00F2267D" w:rsidP="00F2267D">
      <w:pPr>
        <w:spacing w:after="160" w:line="276" w:lineRule="auto"/>
        <w:jc w:val="both"/>
        <w:rPr>
          <w:rFonts w:eastAsiaTheme="minorHAnsi"/>
          <w:b/>
          <w:lang w:eastAsia="en-US"/>
        </w:rPr>
      </w:pP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5.2.1.</w:t>
      </w:r>
      <w:r w:rsidR="0060097F">
        <w:rPr>
          <w:rFonts w:eastAsiaTheme="minorHAnsi"/>
          <w:b/>
          <w:lang w:eastAsia="en-US"/>
        </w:rPr>
        <w:t>8</w:t>
      </w:r>
      <w:r w:rsidRPr="00F2267D">
        <w:rPr>
          <w:rFonts w:eastAsiaTheme="minorHAnsi"/>
          <w:b/>
          <w:lang w:eastAsia="en-US"/>
        </w:rPr>
        <w:t>.2 Recommandation</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Nous recommandons l’élaboration d’un texte règlementaire pour la mise en place des commissions de réception</w:t>
      </w:r>
    </w:p>
    <w:p w:rsidR="00F2267D" w:rsidRPr="00F2267D" w:rsidRDefault="00F2267D" w:rsidP="00F2267D">
      <w:pPr>
        <w:spacing w:after="160" w:line="276" w:lineRule="auto"/>
        <w:rPr>
          <w:rFonts w:eastAsiaTheme="minorHAnsi"/>
          <w:color w:val="000000"/>
          <w:lang w:eastAsia="en-US"/>
        </w:rPr>
      </w:pPr>
    </w:p>
    <w:p w:rsidR="00F2267D" w:rsidRPr="00F2267D" w:rsidRDefault="003507B8" w:rsidP="00F2267D">
      <w:pPr>
        <w:spacing w:after="160" w:line="276" w:lineRule="auto"/>
        <w:jc w:val="both"/>
        <w:rPr>
          <w:rFonts w:eastAsiaTheme="minorHAnsi"/>
          <w:b/>
          <w:lang w:eastAsia="en-US"/>
        </w:rPr>
      </w:pPr>
      <w:r>
        <w:rPr>
          <w:rFonts w:eastAsiaTheme="minorHAnsi"/>
          <w:b/>
          <w:lang w:eastAsia="en-US"/>
        </w:rPr>
        <w:t>5.2.1.9</w:t>
      </w:r>
      <w:r w:rsidR="00F2267D" w:rsidRPr="00F2267D">
        <w:rPr>
          <w:rFonts w:eastAsiaTheme="minorHAnsi"/>
          <w:b/>
          <w:lang w:eastAsia="en-US"/>
        </w:rPr>
        <w:t xml:space="preserve"> Absence d’un acte formel de désignation des membres de la commission de réception </w:t>
      </w:r>
      <w:r w:rsidR="00156E32">
        <w:rPr>
          <w:rFonts w:eastAsiaTheme="minorHAnsi"/>
          <w:b/>
          <w:lang w:eastAsia="en-US"/>
        </w:rPr>
        <w:tab/>
      </w:r>
      <w:r w:rsidR="00156E32">
        <w:rPr>
          <w:rFonts w:eastAsiaTheme="minorHAnsi"/>
          <w:b/>
          <w:lang w:eastAsia="en-US"/>
        </w:rPr>
        <w:tab/>
      </w:r>
      <w:r w:rsidR="00156E32">
        <w:rPr>
          <w:rFonts w:eastAsiaTheme="minorHAnsi"/>
          <w:b/>
          <w:lang w:eastAsia="en-US"/>
        </w:rPr>
        <w:tab/>
      </w:r>
      <w:r w:rsidR="00156E32">
        <w:rPr>
          <w:rFonts w:eastAsiaTheme="minorHAnsi"/>
          <w:b/>
          <w:lang w:eastAsia="en-US"/>
        </w:rPr>
        <w:tab/>
      </w:r>
      <w:r w:rsidR="00156E32">
        <w:rPr>
          <w:rFonts w:eastAsiaTheme="minorHAnsi"/>
          <w:b/>
          <w:lang w:eastAsia="en-US"/>
        </w:rPr>
        <w:tab/>
      </w:r>
      <w:r w:rsidR="00156E32">
        <w:rPr>
          <w:rFonts w:eastAsiaTheme="minorHAnsi"/>
          <w:b/>
          <w:lang w:eastAsia="en-US"/>
        </w:rPr>
        <w:tab/>
      </w:r>
      <w:r w:rsidR="00156E32">
        <w:rPr>
          <w:rFonts w:eastAsiaTheme="minorHAnsi"/>
          <w:b/>
          <w:lang w:eastAsia="en-US"/>
        </w:rPr>
        <w:tab/>
      </w:r>
      <w:r w:rsidR="00156E32">
        <w:rPr>
          <w:rFonts w:eastAsiaTheme="minorHAnsi"/>
          <w:b/>
          <w:lang w:eastAsia="en-US"/>
        </w:rPr>
        <w:tab/>
      </w:r>
      <w:r w:rsidR="00156E32">
        <w:rPr>
          <w:rFonts w:eastAsiaTheme="minorHAnsi"/>
          <w:b/>
          <w:lang w:eastAsia="en-US"/>
        </w:rPr>
        <w:tab/>
      </w:r>
      <w:r w:rsidR="00156E32">
        <w:rPr>
          <w:rFonts w:eastAsiaTheme="minorHAnsi"/>
          <w:b/>
          <w:lang w:eastAsia="en-US"/>
        </w:rPr>
        <w:tab/>
      </w:r>
      <w:r w:rsidR="00156E32">
        <w:rPr>
          <w:rFonts w:eastAsiaTheme="minorHAnsi"/>
          <w:b/>
          <w:lang w:eastAsia="en-US"/>
        </w:rPr>
        <w:tab/>
      </w:r>
      <w:r w:rsidR="00F2267D" w:rsidRPr="00F2267D">
        <w:rPr>
          <w:rFonts w:eastAsiaTheme="minorHAnsi"/>
          <w:b/>
          <w:lang w:eastAsia="en-US"/>
        </w:rPr>
        <w:t>(9/9)</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5.2.1.</w:t>
      </w:r>
      <w:r w:rsidR="003507B8">
        <w:rPr>
          <w:rFonts w:eastAsiaTheme="minorHAnsi"/>
          <w:b/>
          <w:lang w:eastAsia="en-US"/>
        </w:rPr>
        <w:t>9</w:t>
      </w:r>
      <w:r w:rsidRPr="00F2267D">
        <w:rPr>
          <w:rFonts w:eastAsiaTheme="minorHAnsi"/>
          <w:b/>
          <w:lang w:eastAsia="en-US"/>
        </w:rPr>
        <w:t>.1 Constat</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lastRenderedPageBreak/>
        <w:t>La revue de la désignation des membres de la commission de réception a révélé l’absence d’un acte formel de désignation des membres de la commission de réception. Cette insuffisance concerne toutes les autorités contractantes du lot 2</w:t>
      </w:r>
    </w:p>
    <w:p w:rsidR="00F2267D" w:rsidRPr="00F2267D" w:rsidRDefault="00F2267D" w:rsidP="00F2267D">
      <w:pPr>
        <w:numPr>
          <w:ilvl w:val="0"/>
          <w:numId w:val="46"/>
        </w:numPr>
        <w:spacing w:after="160" w:line="276" w:lineRule="auto"/>
        <w:ind w:right="284"/>
        <w:contextualSpacing/>
        <w:jc w:val="both"/>
        <w:rPr>
          <w:rFonts w:eastAsiaTheme="minorHAnsi"/>
          <w:lang w:eastAsia="en-US"/>
        </w:rPr>
      </w:pPr>
      <w:r w:rsidRPr="00F2267D">
        <w:rPr>
          <w:rFonts w:eastAsiaTheme="minorHAnsi"/>
          <w:lang w:eastAsia="en-US"/>
        </w:rPr>
        <w:t>Direction Régionale de l’Hydraulique et de l’Assainissement de Tillaberi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Centrale d’Approvisionnement en Intrants et Matériels Agricoles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Ministère de l’Equipement/CAFER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Société Nigérienne des Produits Pétroliers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Office Nationale d’Edition et de Presse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Ville de Niamey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Cellule de Coordination Humanitaire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 xml:space="preserve">Haut-Commissariat à l’Aménagement de la Vallée du Niger ;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Cellule de Crise Alimentaire</w:t>
      </w:r>
    </w:p>
    <w:p w:rsidR="009673C3" w:rsidRDefault="009673C3" w:rsidP="00F2267D">
      <w:pPr>
        <w:spacing w:after="160" w:line="276" w:lineRule="auto"/>
        <w:jc w:val="both"/>
        <w:rPr>
          <w:rFonts w:eastAsiaTheme="minorHAnsi"/>
          <w:b/>
          <w:lang w:eastAsia="en-US"/>
        </w:rPr>
      </w:pP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5.2.1.</w:t>
      </w:r>
      <w:r w:rsidR="003507B8">
        <w:rPr>
          <w:rFonts w:eastAsiaTheme="minorHAnsi"/>
          <w:b/>
          <w:lang w:eastAsia="en-US"/>
        </w:rPr>
        <w:t>9</w:t>
      </w:r>
      <w:r w:rsidRPr="00F2267D">
        <w:rPr>
          <w:rFonts w:eastAsiaTheme="minorHAnsi"/>
          <w:b/>
          <w:lang w:eastAsia="en-US"/>
        </w:rPr>
        <w:t>.2 Recommandation</w:t>
      </w:r>
    </w:p>
    <w:p w:rsidR="00F2267D" w:rsidRDefault="00F2267D" w:rsidP="00156E32">
      <w:pPr>
        <w:spacing w:after="160" w:line="276" w:lineRule="auto"/>
        <w:jc w:val="both"/>
        <w:rPr>
          <w:rFonts w:eastAsiaTheme="minorHAnsi"/>
          <w:lang w:eastAsia="en-US"/>
        </w:rPr>
      </w:pPr>
      <w:r w:rsidRPr="00F2267D">
        <w:rPr>
          <w:rFonts w:eastAsiaTheme="minorHAnsi"/>
          <w:lang w:eastAsia="en-US"/>
        </w:rPr>
        <w:t>Nous recommandons à l’endroit des autorités contractantes de formaliser la désignatio</w:t>
      </w:r>
      <w:r w:rsidR="00156E32">
        <w:rPr>
          <w:rFonts w:eastAsiaTheme="minorHAnsi"/>
          <w:lang w:eastAsia="en-US"/>
        </w:rPr>
        <w:t>n des membres de la commission.</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5.2.1.</w:t>
      </w:r>
      <w:r w:rsidR="003507B8">
        <w:rPr>
          <w:rFonts w:eastAsiaTheme="minorHAnsi"/>
          <w:b/>
          <w:lang w:eastAsia="en-US"/>
        </w:rPr>
        <w:t>10</w:t>
      </w:r>
      <w:r w:rsidRPr="00F2267D">
        <w:rPr>
          <w:rFonts w:eastAsiaTheme="minorHAnsi"/>
          <w:b/>
          <w:lang w:eastAsia="en-US"/>
        </w:rPr>
        <w:t xml:space="preserve"> Absence des procès-verbaux de réception                          </w:t>
      </w:r>
      <w:r w:rsidR="00C534D8">
        <w:rPr>
          <w:rFonts w:eastAsiaTheme="minorHAnsi"/>
          <w:b/>
          <w:lang w:eastAsia="en-US"/>
        </w:rPr>
        <w:t xml:space="preserve">                              (8</w:t>
      </w:r>
      <w:r w:rsidRPr="00F2267D">
        <w:rPr>
          <w:rFonts w:eastAsiaTheme="minorHAnsi"/>
          <w:b/>
          <w:lang w:eastAsia="en-US"/>
        </w:rPr>
        <w:t>/9)</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5.2.1.</w:t>
      </w:r>
      <w:r w:rsidR="003507B8">
        <w:rPr>
          <w:rFonts w:eastAsiaTheme="minorHAnsi"/>
          <w:b/>
          <w:lang w:eastAsia="en-US"/>
        </w:rPr>
        <w:t>10</w:t>
      </w:r>
      <w:r w:rsidRPr="00F2267D">
        <w:rPr>
          <w:rFonts w:eastAsiaTheme="minorHAnsi"/>
          <w:b/>
          <w:lang w:eastAsia="en-US"/>
        </w:rPr>
        <w:t>.1 Constat</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La revue des procès-verbaux de réception a révélé l’absence de procès-verbaux. Cette insuffisance concerne toutes les autorités contractantes du lot 2</w:t>
      </w:r>
    </w:p>
    <w:p w:rsidR="00F2267D" w:rsidRPr="00F2267D" w:rsidRDefault="00F2267D" w:rsidP="00F2267D">
      <w:pPr>
        <w:numPr>
          <w:ilvl w:val="0"/>
          <w:numId w:val="46"/>
        </w:numPr>
        <w:spacing w:after="160" w:line="276" w:lineRule="auto"/>
        <w:ind w:right="284"/>
        <w:contextualSpacing/>
        <w:jc w:val="both"/>
        <w:rPr>
          <w:rFonts w:eastAsiaTheme="minorHAnsi"/>
          <w:lang w:eastAsia="en-US"/>
        </w:rPr>
      </w:pPr>
      <w:r w:rsidRPr="00F2267D">
        <w:rPr>
          <w:rFonts w:eastAsiaTheme="minorHAnsi"/>
          <w:lang w:eastAsia="en-US"/>
        </w:rPr>
        <w:t>Direction Régionale de l’Hydraulique et de l’Assainissement de Tillaberi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Centrale d’Approvisionnement en Intrants et Matériels Agricoles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Ministère de l’Equipement/CAFER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Société Nigérienne des Produits Pétroliers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Ville de Niamey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Cellule de Coordination Humanitaire ;</w:t>
      </w:r>
    </w:p>
    <w:p w:rsidR="00F2267D" w:rsidRP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 xml:space="preserve">Haut-Commissariat à l’Aménagement de la Vallée du Niger ; </w:t>
      </w:r>
    </w:p>
    <w:p w:rsidR="00F2267D" w:rsidRDefault="00F2267D" w:rsidP="00F2267D">
      <w:pPr>
        <w:numPr>
          <w:ilvl w:val="0"/>
          <w:numId w:val="46"/>
        </w:numPr>
        <w:spacing w:after="160" w:line="276" w:lineRule="auto"/>
        <w:contextualSpacing/>
        <w:jc w:val="both"/>
        <w:rPr>
          <w:rFonts w:eastAsiaTheme="minorHAnsi"/>
          <w:lang w:eastAsia="en-US"/>
        </w:rPr>
      </w:pPr>
      <w:r w:rsidRPr="00F2267D">
        <w:rPr>
          <w:rFonts w:eastAsiaTheme="minorHAnsi"/>
          <w:lang w:eastAsia="en-US"/>
        </w:rPr>
        <w:t>Cellule de Crise Alimentaire</w:t>
      </w:r>
    </w:p>
    <w:p w:rsidR="00156E32" w:rsidRPr="00F2267D" w:rsidRDefault="00156E32" w:rsidP="00156E32">
      <w:pPr>
        <w:spacing w:after="160" w:line="276" w:lineRule="auto"/>
        <w:ind w:left="1353"/>
        <w:contextualSpacing/>
        <w:jc w:val="both"/>
        <w:rPr>
          <w:rFonts w:eastAsiaTheme="minorHAnsi"/>
          <w:lang w:eastAsia="en-US"/>
        </w:rPr>
      </w:pP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5.2.1.1</w:t>
      </w:r>
      <w:r w:rsidR="003507B8">
        <w:rPr>
          <w:rFonts w:eastAsiaTheme="minorHAnsi"/>
          <w:b/>
          <w:lang w:eastAsia="en-US"/>
        </w:rPr>
        <w:t>0</w:t>
      </w:r>
      <w:r w:rsidRPr="00F2267D">
        <w:rPr>
          <w:rFonts w:eastAsiaTheme="minorHAnsi"/>
          <w:b/>
          <w:lang w:eastAsia="en-US"/>
        </w:rPr>
        <w:t>.2 Recommandation</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Nous recommandons de joindre les procès-verbaux de réception aux dossiers de marchés.</w:t>
      </w:r>
    </w:p>
    <w:p w:rsidR="00F2267D" w:rsidRPr="00F2267D" w:rsidRDefault="00F2267D" w:rsidP="00F2267D">
      <w:pPr>
        <w:spacing w:after="160" w:line="276" w:lineRule="auto"/>
        <w:jc w:val="both"/>
        <w:rPr>
          <w:rFonts w:eastAsiaTheme="minorHAnsi"/>
          <w:b/>
          <w:lang w:eastAsia="en-US"/>
        </w:rPr>
      </w:pPr>
    </w:p>
    <w:p w:rsidR="00F2267D" w:rsidRPr="00F2267D" w:rsidRDefault="00F2267D" w:rsidP="00F2267D">
      <w:pPr>
        <w:spacing w:after="160" w:line="276" w:lineRule="auto"/>
        <w:jc w:val="both"/>
        <w:rPr>
          <w:rFonts w:eastAsiaTheme="minorHAnsi"/>
          <w:b/>
          <w:lang w:eastAsia="en-US"/>
        </w:rPr>
      </w:pPr>
    </w:p>
    <w:p w:rsidR="00F2267D" w:rsidRPr="00F2267D" w:rsidRDefault="00F2267D" w:rsidP="00F2267D">
      <w:pPr>
        <w:spacing w:after="160" w:line="276" w:lineRule="auto"/>
        <w:jc w:val="both"/>
        <w:rPr>
          <w:rFonts w:eastAsiaTheme="minorHAnsi"/>
          <w:b/>
          <w:lang w:eastAsia="en-US"/>
        </w:rPr>
      </w:pPr>
    </w:p>
    <w:p w:rsidR="00F2267D" w:rsidRDefault="00F2267D" w:rsidP="00F2267D">
      <w:pPr>
        <w:spacing w:after="160" w:line="276" w:lineRule="auto"/>
        <w:jc w:val="both"/>
        <w:rPr>
          <w:rFonts w:eastAsiaTheme="minorHAnsi"/>
          <w:b/>
          <w:lang w:eastAsia="en-US"/>
        </w:rPr>
      </w:pPr>
    </w:p>
    <w:p w:rsidR="00243A1A" w:rsidRDefault="00243A1A" w:rsidP="00F2267D">
      <w:pPr>
        <w:spacing w:after="160" w:line="276" w:lineRule="auto"/>
        <w:jc w:val="both"/>
        <w:rPr>
          <w:rFonts w:eastAsiaTheme="minorHAnsi"/>
          <w:b/>
          <w:lang w:eastAsia="en-US"/>
        </w:rPr>
      </w:pPr>
    </w:p>
    <w:p w:rsidR="00243A1A" w:rsidRPr="00F2267D" w:rsidRDefault="00243A1A" w:rsidP="00F2267D">
      <w:pPr>
        <w:spacing w:after="160" w:line="276" w:lineRule="auto"/>
        <w:jc w:val="both"/>
        <w:rPr>
          <w:rFonts w:eastAsiaTheme="minorHAnsi"/>
          <w:b/>
          <w:lang w:eastAsia="en-US"/>
        </w:rPr>
      </w:pPr>
    </w:p>
    <w:p w:rsidR="00F2267D" w:rsidRPr="00F2267D" w:rsidRDefault="00F2267D" w:rsidP="00F2267D">
      <w:pPr>
        <w:spacing w:after="160" w:line="276" w:lineRule="auto"/>
        <w:jc w:val="both"/>
        <w:rPr>
          <w:rFonts w:eastAsiaTheme="minorHAnsi"/>
          <w:b/>
          <w:bCs/>
          <w:lang w:eastAsia="en-US"/>
        </w:rPr>
      </w:pPr>
      <w:r w:rsidRPr="00F2267D">
        <w:rPr>
          <w:rFonts w:eastAsiaTheme="minorHAnsi"/>
          <w:b/>
          <w:bCs/>
          <w:lang w:eastAsia="en-US"/>
        </w:rPr>
        <w:t xml:space="preserve">5.2.2 EVALUATION  DE LA PERFORMENCE DES OPERATIONS, ET LA CONFORMITE DES PRESTATIONS </w:t>
      </w:r>
    </w:p>
    <w:p w:rsidR="00F2267D" w:rsidRPr="00F2267D" w:rsidRDefault="00F2267D" w:rsidP="00F2267D">
      <w:pPr>
        <w:spacing w:after="160" w:line="276" w:lineRule="auto"/>
        <w:rPr>
          <w:rFonts w:eastAsiaTheme="minorHAnsi"/>
          <w:b/>
          <w:lang w:eastAsia="en-US"/>
        </w:rPr>
      </w:pPr>
      <w:r w:rsidRPr="00F2267D">
        <w:rPr>
          <w:rFonts w:eastAsiaTheme="minorHAnsi"/>
          <w:b/>
          <w:lang w:eastAsia="en-US"/>
        </w:rPr>
        <w:t xml:space="preserve">5.2.2.1 Non-respects des conditions de mise en concurrence          </w:t>
      </w:r>
      <w:r w:rsidR="00AA72C5">
        <w:rPr>
          <w:rFonts w:eastAsiaTheme="minorHAnsi"/>
          <w:b/>
          <w:lang w:eastAsia="en-US"/>
        </w:rPr>
        <w:t xml:space="preserve">                              (5</w:t>
      </w:r>
      <w:r w:rsidRPr="00F2267D">
        <w:rPr>
          <w:rFonts w:eastAsiaTheme="minorHAnsi"/>
          <w:b/>
          <w:lang w:eastAsia="en-US"/>
        </w:rPr>
        <w:t>/9)</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 xml:space="preserve">5.2.2.1.1 Constat </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 xml:space="preserve">La revue des conditions </w:t>
      </w:r>
      <w:r w:rsidR="00156E32">
        <w:rPr>
          <w:rFonts w:eastAsiaTheme="minorHAnsi"/>
          <w:lang w:eastAsia="en-US"/>
        </w:rPr>
        <w:t>de mise en concurrence a révélé</w:t>
      </w:r>
      <w:r w:rsidRPr="00F2267D">
        <w:rPr>
          <w:rFonts w:eastAsiaTheme="minorHAnsi"/>
          <w:lang w:eastAsia="en-US"/>
        </w:rPr>
        <w:t xml:space="preserve"> le recours à des méthodes peu ou non compétitives. L</w:t>
      </w:r>
      <w:r w:rsidR="001D781A">
        <w:rPr>
          <w:rFonts w:eastAsiaTheme="minorHAnsi"/>
          <w:lang w:eastAsia="en-US"/>
        </w:rPr>
        <w:t xml:space="preserve">es autorités contractantes qui ont </w:t>
      </w:r>
      <w:r w:rsidRPr="00F2267D">
        <w:rPr>
          <w:rFonts w:eastAsiaTheme="minorHAnsi"/>
          <w:lang w:eastAsia="en-US"/>
        </w:rPr>
        <w:t>fait</w:t>
      </w:r>
      <w:r w:rsidR="001D781A">
        <w:rPr>
          <w:rFonts w:eastAsiaTheme="minorHAnsi"/>
          <w:lang w:eastAsia="en-US"/>
        </w:rPr>
        <w:t xml:space="preserve"> des </w:t>
      </w:r>
      <w:r w:rsidRPr="00F2267D">
        <w:rPr>
          <w:rFonts w:eastAsiaTheme="minorHAnsi"/>
          <w:lang w:eastAsia="en-US"/>
        </w:rPr>
        <w:t xml:space="preserve"> recours</w:t>
      </w:r>
      <w:r w:rsidR="001D781A">
        <w:rPr>
          <w:rFonts w:eastAsiaTheme="minorHAnsi"/>
          <w:lang w:eastAsia="en-US"/>
        </w:rPr>
        <w:t xml:space="preserve">  très élevés</w:t>
      </w:r>
      <w:r w:rsidRPr="00F2267D">
        <w:rPr>
          <w:rFonts w:eastAsiaTheme="minorHAnsi"/>
          <w:lang w:eastAsia="en-US"/>
        </w:rPr>
        <w:t xml:space="preserve"> à des méthodes peu ou non compétitives sont :</w:t>
      </w:r>
    </w:p>
    <w:p w:rsidR="00F2267D" w:rsidRPr="00F2267D" w:rsidRDefault="00F2267D" w:rsidP="00F2267D">
      <w:pPr>
        <w:numPr>
          <w:ilvl w:val="0"/>
          <w:numId w:val="49"/>
        </w:numPr>
        <w:spacing w:after="160" w:line="276" w:lineRule="auto"/>
        <w:contextualSpacing/>
        <w:jc w:val="both"/>
        <w:rPr>
          <w:rFonts w:eastAsiaTheme="minorHAnsi"/>
          <w:lang w:eastAsia="en-US"/>
        </w:rPr>
      </w:pPr>
      <w:r w:rsidRPr="00F2267D">
        <w:rPr>
          <w:rFonts w:eastAsiaTheme="minorHAnsi"/>
          <w:lang w:eastAsia="en-US"/>
        </w:rPr>
        <w:t>Société Nigérienne des Produits Pétroliers ;</w:t>
      </w:r>
    </w:p>
    <w:p w:rsidR="00F2267D" w:rsidRPr="00F2267D" w:rsidRDefault="00F2267D" w:rsidP="00F2267D">
      <w:pPr>
        <w:numPr>
          <w:ilvl w:val="0"/>
          <w:numId w:val="49"/>
        </w:numPr>
        <w:spacing w:after="160" w:line="276" w:lineRule="auto"/>
        <w:contextualSpacing/>
        <w:jc w:val="both"/>
        <w:rPr>
          <w:rFonts w:eastAsiaTheme="minorHAnsi"/>
          <w:lang w:eastAsia="en-US"/>
        </w:rPr>
      </w:pPr>
      <w:r w:rsidRPr="00F2267D">
        <w:rPr>
          <w:rFonts w:eastAsiaTheme="minorHAnsi"/>
          <w:lang w:eastAsia="en-US"/>
        </w:rPr>
        <w:t>Cellule de Crise Alimentaire</w:t>
      </w:r>
    </w:p>
    <w:p w:rsidR="00F2267D" w:rsidRPr="00F2267D" w:rsidRDefault="00F2267D" w:rsidP="00F2267D">
      <w:pPr>
        <w:numPr>
          <w:ilvl w:val="0"/>
          <w:numId w:val="49"/>
        </w:numPr>
        <w:spacing w:after="160" w:line="276" w:lineRule="auto"/>
        <w:contextualSpacing/>
        <w:jc w:val="both"/>
        <w:rPr>
          <w:rFonts w:eastAsiaTheme="minorHAnsi"/>
          <w:lang w:eastAsia="en-US"/>
        </w:rPr>
      </w:pPr>
      <w:r w:rsidRPr="00F2267D">
        <w:rPr>
          <w:rFonts w:eastAsiaTheme="minorHAnsi"/>
          <w:lang w:eastAsia="en-US"/>
        </w:rPr>
        <w:t>Cellule de Coordination Humanitaire ;</w:t>
      </w:r>
    </w:p>
    <w:p w:rsidR="00F2267D" w:rsidRDefault="00F2267D" w:rsidP="00F2267D">
      <w:pPr>
        <w:numPr>
          <w:ilvl w:val="0"/>
          <w:numId w:val="49"/>
        </w:numPr>
        <w:spacing w:after="160" w:line="276" w:lineRule="auto"/>
        <w:contextualSpacing/>
        <w:jc w:val="both"/>
        <w:rPr>
          <w:rFonts w:eastAsiaTheme="minorHAnsi"/>
          <w:lang w:eastAsia="en-US"/>
        </w:rPr>
      </w:pPr>
      <w:r w:rsidRPr="00F2267D">
        <w:rPr>
          <w:rFonts w:eastAsiaTheme="minorHAnsi"/>
          <w:lang w:eastAsia="en-US"/>
        </w:rPr>
        <w:t xml:space="preserve">Haut-Commissariat à l’Aménagement de la Vallée du Niger ; </w:t>
      </w:r>
    </w:p>
    <w:p w:rsidR="00AA72C5" w:rsidRPr="00F2267D" w:rsidRDefault="00AA72C5" w:rsidP="00AA72C5">
      <w:pPr>
        <w:numPr>
          <w:ilvl w:val="0"/>
          <w:numId w:val="49"/>
        </w:numPr>
        <w:spacing w:after="160" w:line="276" w:lineRule="auto"/>
        <w:contextualSpacing/>
        <w:jc w:val="both"/>
        <w:rPr>
          <w:rFonts w:eastAsiaTheme="minorHAnsi"/>
          <w:lang w:eastAsia="en-US"/>
        </w:rPr>
      </w:pPr>
      <w:r w:rsidRPr="00F2267D">
        <w:rPr>
          <w:rFonts w:eastAsiaTheme="minorHAnsi"/>
          <w:lang w:eastAsia="en-US"/>
        </w:rPr>
        <w:t>Office Nationale d’Edition et de Presse ;</w:t>
      </w:r>
    </w:p>
    <w:p w:rsidR="00AA72C5" w:rsidRDefault="00AA72C5" w:rsidP="00AA72C5">
      <w:pPr>
        <w:spacing w:after="160" w:line="276" w:lineRule="auto"/>
        <w:ind w:left="720"/>
        <w:contextualSpacing/>
        <w:jc w:val="both"/>
        <w:rPr>
          <w:rFonts w:eastAsiaTheme="minorHAnsi"/>
          <w:lang w:eastAsia="en-US"/>
        </w:rPr>
      </w:pPr>
    </w:p>
    <w:p w:rsidR="00F2267D" w:rsidRPr="00F2267D" w:rsidRDefault="00F2267D" w:rsidP="00F2267D">
      <w:pPr>
        <w:spacing w:after="160" w:line="276" w:lineRule="auto"/>
        <w:rPr>
          <w:rFonts w:eastAsiaTheme="minorHAnsi"/>
          <w:b/>
          <w:lang w:eastAsia="en-US"/>
        </w:rPr>
      </w:pPr>
      <w:r w:rsidRPr="00F2267D">
        <w:rPr>
          <w:rFonts w:eastAsiaTheme="minorHAnsi"/>
          <w:b/>
          <w:lang w:eastAsia="en-US"/>
        </w:rPr>
        <w:t>5.2.2.1.2 Recommandation</w:t>
      </w:r>
    </w:p>
    <w:p w:rsidR="00F2267D" w:rsidRPr="00F2267D" w:rsidRDefault="00F2267D" w:rsidP="00243A1A">
      <w:pPr>
        <w:spacing w:after="160" w:line="276" w:lineRule="auto"/>
        <w:rPr>
          <w:rFonts w:eastAsiaTheme="minorHAnsi"/>
          <w:lang w:eastAsia="en-US"/>
        </w:rPr>
      </w:pPr>
      <w:r w:rsidRPr="00F2267D">
        <w:rPr>
          <w:rFonts w:eastAsiaTheme="minorHAnsi"/>
          <w:lang w:eastAsia="en-US"/>
        </w:rPr>
        <w:t>Réduire le taux de recours à des méthodes de passation peu ou non compétitives afin d</w:t>
      </w:r>
      <w:r w:rsidR="00243A1A">
        <w:rPr>
          <w:rFonts w:eastAsiaTheme="minorHAnsi"/>
          <w:lang w:eastAsia="en-US"/>
        </w:rPr>
        <w:t>e se conformer aux normes UEMOA</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 xml:space="preserve">5.2.2.2 Non-respect du délai de publication des avis d’appel d’offres                         (1/9)     </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5.2.2.2.1 Constat</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La revue du respect des  délais de publicité des avis d’appel d’offres a révélé le non-respect du délai de soumission de l’appel d’offres conformément aux dispositions de l’Arrêté n°0034/CAB/PM/ARMP du 21 Janvier 2014 fixant les délais dans le cadre de la passation des marchés publics et des délégations de service public. Cette insuffisance concerne la Société Nigérienne des produits Pétroliers.</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5.2.2.2.2 Recommandation</w:t>
      </w:r>
    </w:p>
    <w:p w:rsidR="00F2267D" w:rsidRDefault="00F2267D" w:rsidP="00F2267D">
      <w:pPr>
        <w:spacing w:after="160" w:line="276" w:lineRule="auto"/>
        <w:rPr>
          <w:rFonts w:eastAsiaTheme="minorHAnsi"/>
          <w:lang w:eastAsia="en-US"/>
        </w:rPr>
      </w:pPr>
      <w:r w:rsidRPr="00F2267D">
        <w:rPr>
          <w:rFonts w:eastAsiaTheme="minorHAnsi"/>
          <w:lang w:eastAsia="en-US"/>
        </w:rPr>
        <w:t>Nous recommandons le respect des délais de soumission conformément aux dispositions de l’arrêté  N°0034/CAB/PM/ARMP du 21 Janvier 2014 fixant les délais dans le cadre de la passation des marchés publics et des délégations de service public</w:t>
      </w:r>
      <w:r w:rsidR="001D781A">
        <w:rPr>
          <w:rFonts w:eastAsiaTheme="minorHAnsi"/>
          <w:lang w:eastAsia="en-US"/>
        </w:rPr>
        <w:t>.</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 xml:space="preserve">5.2.2.3 Non-respect des modes de passation prévu dans le plan de passation              (4/9)  </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5.2.2.3.1 Constat</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 xml:space="preserve">La revue des dossiers de passation des marchés a révélé que les marchés prévus pour être passés par Appel d’offres National ont été  passés par Entente directe (Les autorisations de la DGCMP/EF ont été obtenues pour ces marchés) conformément à l’article 49 du décret </w:t>
      </w:r>
      <w:r w:rsidRPr="00F2267D">
        <w:rPr>
          <w:rFonts w:eastAsiaTheme="minorHAnsi"/>
          <w:lang w:eastAsia="en-US"/>
        </w:rPr>
        <w:lastRenderedPageBreak/>
        <w:t>n°2013-569/PRN/PM du 20 décembre 2013 portant code des marchés et des délégations de service public. Les autorités contractantes concernées sont les suivantes :</w:t>
      </w:r>
    </w:p>
    <w:p w:rsidR="00F2267D" w:rsidRPr="00F2267D" w:rsidRDefault="00F2267D" w:rsidP="00F2267D">
      <w:pPr>
        <w:numPr>
          <w:ilvl w:val="0"/>
          <w:numId w:val="47"/>
        </w:numPr>
        <w:spacing w:after="160" w:line="276" w:lineRule="auto"/>
        <w:contextualSpacing/>
        <w:jc w:val="both"/>
        <w:rPr>
          <w:rFonts w:eastAsiaTheme="minorHAnsi"/>
          <w:lang w:eastAsia="en-US"/>
        </w:rPr>
      </w:pPr>
      <w:r w:rsidRPr="00F2267D">
        <w:rPr>
          <w:rFonts w:eastAsiaTheme="minorHAnsi"/>
          <w:lang w:eastAsia="en-US"/>
        </w:rPr>
        <w:t>Société Nigérienne des produits Pétroliers ;</w:t>
      </w:r>
    </w:p>
    <w:p w:rsidR="00F2267D" w:rsidRPr="00F2267D" w:rsidRDefault="00F2267D" w:rsidP="00F2267D">
      <w:pPr>
        <w:numPr>
          <w:ilvl w:val="0"/>
          <w:numId w:val="47"/>
        </w:numPr>
        <w:spacing w:after="160" w:line="276" w:lineRule="auto"/>
        <w:contextualSpacing/>
        <w:jc w:val="both"/>
        <w:rPr>
          <w:rFonts w:eastAsiaTheme="minorHAnsi"/>
          <w:lang w:eastAsia="en-US"/>
        </w:rPr>
      </w:pPr>
      <w:r w:rsidRPr="00F2267D">
        <w:rPr>
          <w:rFonts w:eastAsiaTheme="minorHAnsi"/>
          <w:lang w:eastAsia="en-US"/>
        </w:rPr>
        <w:t>Ville de Niamey ;</w:t>
      </w:r>
    </w:p>
    <w:p w:rsidR="00F2267D" w:rsidRPr="00F2267D" w:rsidRDefault="00F2267D" w:rsidP="00F2267D">
      <w:pPr>
        <w:numPr>
          <w:ilvl w:val="0"/>
          <w:numId w:val="47"/>
        </w:numPr>
        <w:spacing w:after="160" w:line="276" w:lineRule="auto"/>
        <w:contextualSpacing/>
        <w:jc w:val="both"/>
        <w:rPr>
          <w:rFonts w:eastAsiaTheme="minorHAnsi"/>
          <w:lang w:eastAsia="en-US"/>
        </w:rPr>
      </w:pPr>
      <w:r w:rsidRPr="00F2267D">
        <w:rPr>
          <w:rFonts w:eastAsiaTheme="minorHAnsi"/>
          <w:lang w:eastAsia="en-US"/>
        </w:rPr>
        <w:t>Cellule de Crises Alimentaires ;</w:t>
      </w:r>
    </w:p>
    <w:p w:rsidR="00F2267D" w:rsidRDefault="00F2267D" w:rsidP="00F2267D">
      <w:pPr>
        <w:numPr>
          <w:ilvl w:val="0"/>
          <w:numId w:val="47"/>
        </w:numPr>
        <w:spacing w:after="160" w:line="276" w:lineRule="auto"/>
        <w:contextualSpacing/>
        <w:jc w:val="both"/>
        <w:rPr>
          <w:rFonts w:eastAsiaTheme="minorHAnsi"/>
          <w:lang w:eastAsia="en-US"/>
        </w:rPr>
      </w:pPr>
      <w:r w:rsidRPr="00F2267D">
        <w:rPr>
          <w:rFonts w:eastAsiaTheme="minorHAnsi"/>
          <w:lang w:eastAsia="en-US"/>
        </w:rPr>
        <w:t>Cellule de Coordination Humanitaire ;</w:t>
      </w:r>
    </w:p>
    <w:p w:rsidR="001D781A" w:rsidRPr="00F2267D" w:rsidRDefault="001D781A" w:rsidP="00364D10">
      <w:pPr>
        <w:spacing w:after="160" w:line="276" w:lineRule="auto"/>
        <w:ind w:left="720"/>
        <w:contextualSpacing/>
        <w:jc w:val="both"/>
        <w:rPr>
          <w:rFonts w:eastAsiaTheme="minorHAnsi"/>
          <w:lang w:eastAsia="en-US"/>
        </w:rPr>
      </w:pP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5.2.2.3.2 Recommandations</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Le respect des modes de passation prévus dans le plan Prévisionnel des marchés.</w:t>
      </w:r>
    </w:p>
    <w:p w:rsidR="00243A1A" w:rsidRDefault="00243A1A" w:rsidP="00F2267D">
      <w:pPr>
        <w:spacing w:after="160" w:line="276" w:lineRule="auto"/>
        <w:jc w:val="both"/>
        <w:rPr>
          <w:rFonts w:eastAsiaTheme="minorHAnsi"/>
          <w:color w:val="000000"/>
          <w:lang w:eastAsia="en-US"/>
        </w:rPr>
      </w:pP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 xml:space="preserve">5.2.2.4 Non-respect des délais de passation de marchés                  </w:t>
      </w:r>
      <w:r w:rsidR="001900E3">
        <w:rPr>
          <w:rFonts w:eastAsiaTheme="minorHAnsi"/>
          <w:b/>
          <w:lang w:eastAsia="en-US"/>
        </w:rPr>
        <w:t xml:space="preserve">                              </w:t>
      </w:r>
      <w:r w:rsidR="00243A1A">
        <w:rPr>
          <w:rFonts w:eastAsiaTheme="minorHAnsi"/>
          <w:b/>
          <w:lang w:eastAsia="en-US"/>
        </w:rPr>
        <w:t xml:space="preserve">  </w:t>
      </w:r>
      <w:r w:rsidR="001900E3">
        <w:rPr>
          <w:rFonts w:eastAsiaTheme="minorHAnsi"/>
          <w:b/>
          <w:lang w:eastAsia="en-US"/>
        </w:rPr>
        <w:t>(7</w:t>
      </w:r>
      <w:r w:rsidRPr="00F2267D">
        <w:rPr>
          <w:rFonts w:eastAsiaTheme="minorHAnsi"/>
          <w:b/>
          <w:lang w:eastAsia="en-US"/>
        </w:rPr>
        <w:t>/9)</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5.2.2.4.1 Constat</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La revue des délais dans le processus de passation des marchés a révélé que sur les neuf (09) autorités contractantes six (06) n’ont pas respecté les délais prévus dans le processus de passation. Les autorités contractantes concernées sont les suivantes :</w:t>
      </w:r>
    </w:p>
    <w:p w:rsidR="00F2267D" w:rsidRPr="00F2267D" w:rsidRDefault="00F2267D" w:rsidP="00F2267D">
      <w:pPr>
        <w:numPr>
          <w:ilvl w:val="0"/>
          <w:numId w:val="48"/>
        </w:numPr>
        <w:spacing w:after="160" w:line="276" w:lineRule="auto"/>
        <w:ind w:right="284"/>
        <w:contextualSpacing/>
        <w:jc w:val="both"/>
        <w:rPr>
          <w:rFonts w:eastAsiaTheme="minorHAnsi"/>
          <w:lang w:eastAsia="en-US"/>
        </w:rPr>
      </w:pPr>
      <w:r w:rsidRPr="00F2267D">
        <w:rPr>
          <w:rFonts w:eastAsiaTheme="minorHAnsi"/>
          <w:lang w:eastAsia="en-US"/>
        </w:rPr>
        <w:t>Direction Régionale de l’Hydraulique et de l’Assainissement de Tillaberi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Centrale d’Approvisionnement en Intrants et Matériels Agricoles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Ministère de l’Equipement/CAFER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Société Nigérienne des Produits Pétroliers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Office Nationale d’Edition et de Presse ;</w:t>
      </w:r>
    </w:p>
    <w:p w:rsid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Haut-Commissariat à l’Aménagement de la Vallée du Niger ;</w:t>
      </w:r>
    </w:p>
    <w:p w:rsidR="001900E3" w:rsidRDefault="001900E3" w:rsidP="001900E3">
      <w:pPr>
        <w:numPr>
          <w:ilvl w:val="0"/>
          <w:numId w:val="48"/>
        </w:numPr>
        <w:spacing w:after="160" w:line="276" w:lineRule="auto"/>
        <w:contextualSpacing/>
        <w:jc w:val="both"/>
        <w:rPr>
          <w:rFonts w:eastAsiaTheme="minorHAnsi"/>
          <w:lang w:eastAsia="en-US"/>
        </w:rPr>
      </w:pPr>
      <w:r w:rsidRPr="00F2267D">
        <w:rPr>
          <w:rFonts w:eastAsiaTheme="minorHAnsi"/>
          <w:lang w:eastAsia="en-US"/>
        </w:rPr>
        <w:t>Cellule de Coordination Humanitaire ;</w:t>
      </w:r>
    </w:p>
    <w:p w:rsidR="001900E3" w:rsidRPr="00F2267D" w:rsidRDefault="001900E3" w:rsidP="001900E3">
      <w:pPr>
        <w:spacing w:after="160" w:line="276" w:lineRule="auto"/>
        <w:ind w:left="720"/>
        <w:contextualSpacing/>
        <w:jc w:val="both"/>
        <w:rPr>
          <w:rFonts w:eastAsiaTheme="minorHAnsi"/>
          <w:lang w:eastAsia="en-US"/>
        </w:rPr>
      </w:pP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5.2.2.4.2 Recommandation</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Nous recommandons le respect des délais dans le cadre de la passation des marchés conformément à l’arrêté 34/CAB/PM/ARMP du 21 janvier 2014 fixant les délais dans le cadre de la passation des marchés publics et des délégations de service public.</w:t>
      </w:r>
    </w:p>
    <w:p w:rsidR="00243A1A" w:rsidRDefault="00243A1A" w:rsidP="00F2267D">
      <w:pPr>
        <w:spacing w:after="160" w:line="276" w:lineRule="auto"/>
        <w:jc w:val="both"/>
        <w:rPr>
          <w:rFonts w:eastAsiaTheme="minorHAnsi"/>
          <w:color w:val="000000"/>
          <w:lang w:eastAsia="en-US"/>
        </w:rPr>
      </w:pP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5.2.2.5. La conformité des prestations sur pièces                                                          (7/9)</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5.2.2.5.1 Constat</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Le contrôle de conformité des prestations exécutées n’a pas couvert l’ensemble des dossiers étudiés à cause de l’indisponibilité des Procès-verbaux de réception. Sur les neuf (09) autorités contractantes concernées nous avons constatés que les Procès-verbaux de sept (07) autorités contractantes ne sont pas joints aux dossiers de passations. Cette insuffisance concerne les autorités contractantes suivantes :</w:t>
      </w:r>
    </w:p>
    <w:p w:rsidR="00F2267D" w:rsidRPr="00F2267D" w:rsidRDefault="00F2267D" w:rsidP="00F2267D">
      <w:pPr>
        <w:numPr>
          <w:ilvl w:val="0"/>
          <w:numId w:val="48"/>
        </w:numPr>
        <w:spacing w:after="160" w:line="276" w:lineRule="auto"/>
        <w:ind w:right="284"/>
        <w:contextualSpacing/>
        <w:jc w:val="both"/>
        <w:rPr>
          <w:rFonts w:eastAsiaTheme="minorHAnsi"/>
          <w:lang w:eastAsia="en-US"/>
        </w:rPr>
      </w:pPr>
      <w:r w:rsidRPr="00F2267D">
        <w:rPr>
          <w:rFonts w:eastAsiaTheme="minorHAnsi"/>
          <w:lang w:eastAsia="en-US"/>
        </w:rPr>
        <w:lastRenderedPageBreak/>
        <w:t>Direction Régionale de l’Hydraulique et de l’Assainissement de Tillaberi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Centrale d’Approvisionnement en Intrants et Matériels Agricoles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Ministère de l’Equipement/CAFER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Société Nigérienne des Produits Pétroliers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Office Nationale d’Edition et de Presse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Haut-Commissariat à l’Aménagement de la Vallée du Niger ;</w:t>
      </w:r>
    </w:p>
    <w:p w:rsid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Ville de Niamey ;</w:t>
      </w:r>
    </w:p>
    <w:p w:rsidR="001D781A" w:rsidRPr="00F2267D" w:rsidRDefault="001D781A" w:rsidP="001D781A">
      <w:pPr>
        <w:spacing w:after="160" w:line="276" w:lineRule="auto"/>
        <w:ind w:left="720"/>
        <w:contextualSpacing/>
        <w:jc w:val="both"/>
        <w:rPr>
          <w:rFonts w:eastAsiaTheme="minorHAnsi"/>
          <w:lang w:eastAsia="en-US"/>
        </w:rPr>
      </w:pP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5.2.2.5.2 Recommandation</w:t>
      </w:r>
    </w:p>
    <w:p w:rsidR="00F2267D" w:rsidRDefault="00F2267D" w:rsidP="00F2267D">
      <w:pPr>
        <w:spacing w:after="160" w:line="276" w:lineRule="auto"/>
        <w:jc w:val="both"/>
        <w:rPr>
          <w:rFonts w:eastAsiaTheme="minorHAnsi"/>
          <w:lang w:eastAsia="en-US"/>
        </w:rPr>
      </w:pPr>
      <w:r w:rsidRPr="00F2267D">
        <w:rPr>
          <w:rFonts w:eastAsiaTheme="minorHAnsi"/>
          <w:lang w:eastAsia="en-US"/>
        </w:rPr>
        <w:t>Archiver les procès-verbaux de réception dans les dossiers de passation des marchés.</w:t>
      </w:r>
    </w:p>
    <w:p w:rsidR="001D781A" w:rsidRPr="00F2267D" w:rsidRDefault="001D781A" w:rsidP="00F2267D">
      <w:pPr>
        <w:spacing w:after="160" w:line="276" w:lineRule="auto"/>
        <w:jc w:val="both"/>
        <w:rPr>
          <w:rFonts w:eastAsiaTheme="minorHAnsi"/>
          <w:lang w:eastAsia="en-US"/>
        </w:rPr>
      </w:pPr>
    </w:p>
    <w:p w:rsidR="00F2267D" w:rsidRPr="00F2267D" w:rsidRDefault="00F2267D" w:rsidP="00F2267D">
      <w:pPr>
        <w:spacing w:after="160" w:line="276" w:lineRule="auto"/>
        <w:jc w:val="both"/>
        <w:rPr>
          <w:rFonts w:eastAsiaTheme="minorHAnsi"/>
          <w:lang w:eastAsia="en-US"/>
        </w:rPr>
      </w:pPr>
    </w:p>
    <w:p w:rsidR="00C579CA" w:rsidRDefault="00C579CA" w:rsidP="00F2267D">
      <w:pPr>
        <w:autoSpaceDE w:val="0"/>
        <w:autoSpaceDN w:val="0"/>
        <w:adjustRightInd w:val="0"/>
        <w:spacing w:after="160" w:line="276" w:lineRule="auto"/>
        <w:rPr>
          <w:rFonts w:eastAsiaTheme="minorHAnsi"/>
          <w:b/>
          <w:bCs/>
          <w:lang w:eastAsia="en-US"/>
        </w:rPr>
      </w:pPr>
    </w:p>
    <w:p w:rsidR="00C579CA" w:rsidRDefault="00C579CA" w:rsidP="00F2267D">
      <w:pPr>
        <w:autoSpaceDE w:val="0"/>
        <w:autoSpaceDN w:val="0"/>
        <w:adjustRightInd w:val="0"/>
        <w:spacing w:after="160" w:line="276" w:lineRule="auto"/>
        <w:rPr>
          <w:rFonts w:eastAsiaTheme="minorHAnsi"/>
          <w:b/>
          <w:bCs/>
          <w:lang w:eastAsia="en-US"/>
        </w:rPr>
      </w:pPr>
    </w:p>
    <w:p w:rsidR="00C579CA" w:rsidRDefault="00C579CA" w:rsidP="00F2267D">
      <w:pPr>
        <w:autoSpaceDE w:val="0"/>
        <w:autoSpaceDN w:val="0"/>
        <w:adjustRightInd w:val="0"/>
        <w:spacing w:after="160" w:line="276" w:lineRule="auto"/>
        <w:rPr>
          <w:rFonts w:eastAsiaTheme="minorHAnsi"/>
          <w:b/>
          <w:bCs/>
          <w:lang w:eastAsia="en-US"/>
        </w:rPr>
      </w:pPr>
    </w:p>
    <w:p w:rsidR="00243A1A" w:rsidRDefault="00243A1A" w:rsidP="00F2267D">
      <w:pPr>
        <w:autoSpaceDE w:val="0"/>
        <w:autoSpaceDN w:val="0"/>
        <w:adjustRightInd w:val="0"/>
        <w:spacing w:after="160" w:line="276" w:lineRule="auto"/>
        <w:rPr>
          <w:rFonts w:eastAsiaTheme="minorHAnsi"/>
          <w:b/>
          <w:bCs/>
          <w:lang w:eastAsia="en-US"/>
        </w:rPr>
      </w:pPr>
    </w:p>
    <w:p w:rsidR="00243A1A" w:rsidRDefault="00243A1A" w:rsidP="00F2267D">
      <w:pPr>
        <w:autoSpaceDE w:val="0"/>
        <w:autoSpaceDN w:val="0"/>
        <w:adjustRightInd w:val="0"/>
        <w:spacing w:after="160" w:line="276" w:lineRule="auto"/>
        <w:rPr>
          <w:rFonts w:eastAsiaTheme="minorHAnsi"/>
          <w:b/>
          <w:bCs/>
          <w:lang w:eastAsia="en-US"/>
        </w:rPr>
      </w:pPr>
    </w:p>
    <w:p w:rsidR="00243A1A" w:rsidRDefault="00243A1A" w:rsidP="00F2267D">
      <w:pPr>
        <w:autoSpaceDE w:val="0"/>
        <w:autoSpaceDN w:val="0"/>
        <w:adjustRightInd w:val="0"/>
        <w:spacing w:after="160" w:line="276" w:lineRule="auto"/>
        <w:rPr>
          <w:rFonts w:eastAsiaTheme="minorHAnsi"/>
          <w:b/>
          <w:bCs/>
          <w:lang w:eastAsia="en-US"/>
        </w:rPr>
      </w:pPr>
    </w:p>
    <w:p w:rsidR="00243A1A" w:rsidRDefault="00243A1A" w:rsidP="00F2267D">
      <w:pPr>
        <w:autoSpaceDE w:val="0"/>
        <w:autoSpaceDN w:val="0"/>
        <w:adjustRightInd w:val="0"/>
        <w:spacing w:after="160" w:line="276" w:lineRule="auto"/>
        <w:rPr>
          <w:rFonts w:eastAsiaTheme="minorHAnsi"/>
          <w:b/>
          <w:bCs/>
          <w:lang w:eastAsia="en-US"/>
        </w:rPr>
      </w:pPr>
    </w:p>
    <w:p w:rsidR="00243A1A" w:rsidRDefault="00243A1A" w:rsidP="00F2267D">
      <w:pPr>
        <w:autoSpaceDE w:val="0"/>
        <w:autoSpaceDN w:val="0"/>
        <w:adjustRightInd w:val="0"/>
        <w:spacing w:after="160" w:line="276" w:lineRule="auto"/>
        <w:rPr>
          <w:rFonts w:eastAsiaTheme="minorHAnsi"/>
          <w:b/>
          <w:bCs/>
          <w:lang w:eastAsia="en-US"/>
        </w:rPr>
      </w:pPr>
    </w:p>
    <w:p w:rsidR="00243A1A" w:rsidRDefault="00243A1A" w:rsidP="00F2267D">
      <w:pPr>
        <w:autoSpaceDE w:val="0"/>
        <w:autoSpaceDN w:val="0"/>
        <w:adjustRightInd w:val="0"/>
        <w:spacing w:after="160" w:line="276" w:lineRule="auto"/>
        <w:rPr>
          <w:rFonts w:eastAsiaTheme="minorHAnsi"/>
          <w:b/>
          <w:bCs/>
          <w:lang w:eastAsia="en-US"/>
        </w:rPr>
      </w:pPr>
    </w:p>
    <w:p w:rsidR="00243A1A" w:rsidRDefault="00243A1A" w:rsidP="00F2267D">
      <w:pPr>
        <w:autoSpaceDE w:val="0"/>
        <w:autoSpaceDN w:val="0"/>
        <w:adjustRightInd w:val="0"/>
        <w:spacing w:after="160" w:line="276" w:lineRule="auto"/>
        <w:rPr>
          <w:rFonts w:eastAsiaTheme="minorHAnsi"/>
          <w:b/>
          <w:bCs/>
          <w:lang w:eastAsia="en-US"/>
        </w:rPr>
      </w:pPr>
    </w:p>
    <w:p w:rsidR="00243A1A" w:rsidRDefault="00243A1A" w:rsidP="00F2267D">
      <w:pPr>
        <w:autoSpaceDE w:val="0"/>
        <w:autoSpaceDN w:val="0"/>
        <w:adjustRightInd w:val="0"/>
        <w:spacing w:after="160" w:line="276" w:lineRule="auto"/>
        <w:rPr>
          <w:rFonts w:eastAsiaTheme="minorHAnsi"/>
          <w:b/>
          <w:bCs/>
          <w:lang w:eastAsia="en-US"/>
        </w:rPr>
      </w:pPr>
    </w:p>
    <w:p w:rsidR="00243A1A" w:rsidRDefault="00243A1A" w:rsidP="00F2267D">
      <w:pPr>
        <w:autoSpaceDE w:val="0"/>
        <w:autoSpaceDN w:val="0"/>
        <w:adjustRightInd w:val="0"/>
        <w:spacing w:after="160" w:line="276" w:lineRule="auto"/>
        <w:rPr>
          <w:rFonts w:eastAsiaTheme="minorHAnsi"/>
          <w:b/>
          <w:bCs/>
          <w:lang w:eastAsia="en-US"/>
        </w:rPr>
      </w:pPr>
    </w:p>
    <w:p w:rsidR="00243A1A" w:rsidRDefault="00243A1A" w:rsidP="00F2267D">
      <w:pPr>
        <w:autoSpaceDE w:val="0"/>
        <w:autoSpaceDN w:val="0"/>
        <w:adjustRightInd w:val="0"/>
        <w:spacing w:after="160" w:line="276" w:lineRule="auto"/>
        <w:rPr>
          <w:rFonts w:eastAsiaTheme="minorHAnsi"/>
          <w:b/>
          <w:bCs/>
          <w:lang w:eastAsia="en-US"/>
        </w:rPr>
      </w:pPr>
    </w:p>
    <w:p w:rsidR="00243A1A" w:rsidRDefault="00243A1A" w:rsidP="00F2267D">
      <w:pPr>
        <w:autoSpaceDE w:val="0"/>
        <w:autoSpaceDN w:val="0"/>
        <w:adjustRightInd w:val="0"/>
        <w:spacing w:after="160" w:line="276" w:lineRule="auto"/>
        <w:rPr>
          <w:rFonts w:eastAsiaTheme="minorHAnsi"/>
          <w:b/>
          <w:bCs/>
          <w:lang w:eastAsia="en-US"/>
        </w:rPr>
      </w:pPr>
    </w:p>
    <w:p w:rsidR="00243A1A" w:rsidRDefault="00243A1A" w:rsidP="00F2267D">
      <w:pPr>
        <w:autoSpaceDE w:val="0"/>
        <w:autoSpaceDN w:val="0"/>
        <w:adjustRightInd w:val="0"/>
        <w:spacing w:after="160" w:line="276" w:lineRule="auto"/>
        <w:rPr>
          <w:rFonts w:eastAsiaTheme="minorHAnsi"/>
          <w:b/>
          <w:bCs/>
          <w:lang w:eastAsia="en-US"/>
        </w:rPr>
      </w:pPr>
    </w:p>
    <w:p w:rsidR="00243A1A" w:rsidRDefault="00243A1A" w:rsidP="00F2267D">
      <w:pPr>
        <w:autoSpaceDE w:val="0"/>
        <w:autoSpaceDN w:val="0"/>
        <w:adjustRightInd w:val="0"/>
        <w:spacing w:after="160" w:line="276" w:lineRule="auto"/>
        <w:rPr>
          <w:rFonts w:eastAsiaTheme="minorHAnsi"/>
          <w:b/>
          <w:bCs/>
          <w:lang w:eastAsia="en-US"/>
        </w:rPr>
      </w:pPr>
    </w:p>
    <w:p w:rsidR="00243A1A" w:rsidRDefault="00243A1A" w:rsidP="00F2267D">
      <w:pPr>
        <w:autoSpaceDE w:val="0"/>
        <w:autoSpaceDN w:val="0"/>
        <w:adjustRightInd w:val="0"/>
        <w:spacing w:after="160" w:line="276" w:lineRule="auto"/>
        <w:rPr>
          <w:rFonts w:eastAsiaTheme="minorHAnsi"/>
          <w:b/>
          <w:bCs/>
          <w:lang w:eastAsia="en-US"/>
        </w:rPr>
      </w:pPr>
    </w:p>
    <w:p w:rsidR="00243A1A" w:rsidRDefault="00243A1A" w:rsidP="00F2267D">
      <w:pPr>
        <w:autoSpaceDE w:val="0"/>
        <w:autoSpaceDN w:val="0"/>
        <w:adjustRightInd w:val="0"/>
        <w:spacing w:after="160" w:line="276" w:lineRule="auto"/>
        <w:rPr>
          <w:rFonts w:eastAsiaTheme="minorHAnsi"/>
          <w:b/>
          <w:bCs/>
          <w:lang w:eastAsia="en-US"/>
        </w:rPr>
      </w:pPr>
    </w:p>
    <w:p w:rsidR="00243A1A" w:rsidRDefault="00243A1A" w:rsidP="00F2267D">
      <w:pPr>
        <w:autoSpaceDE w:val="0"/>
        <w:autoSpaceDN w:val="0"/>
        <w:adjustRightInd w:val="0"/>
        <w:spacing w:after="160" w:line="276" w:lineRule="auto"/>
        <w:rPr>
          <w:rFonts w:eastAsiaTheme="minorHAnsi"/>
          <w:b/>
          <w:bCs/>
          <w:lang w:eastAsia="en-US"/>
        </w:rPr>
      </w:pPr>
    </w:p>
    <w:p w:rsidR="00F2267D" w:rsidRPr="00F2267D" w:rsidRDefault="00F2267D" w:rsidP="00F2267D">
      <w:pPr>
        <w:autoSpaceDE w:val="0"/>
        <w:autoSpaceDN w:val="0"/>
        <w:adjustRightInd w:val="0"/>
        <w:spacing w:after="160" w:line="276" w:lineRule="auto"/>
        <w:rPr>
          <w:rFonts w:eastAsiaTheme="minorHAnsi"/>
          <w:b/>
          <w:lang w:eastAsia="en-US"/>
        </w:rPr>
      </w:pPr>
      <w:r w:rsidRPr="00F2267D">
        <w:rPr>
          <w:rFonts w:eastAsiaTheme="minorHAnsi"/>
          <w:b/>
          <w:bCs/>
          <w:lang w:eastAsia="en-US"/>
        </w:rPr>
        <w:lastRenderedPageBreak/>
        <w:t xml:space="preserve">5.2.3 </w:t>
      </w:r>
      <w:r w:rsidRPr="00F2267D">
        <w:rPr>
          <w:rFonts w:eastAsiaTheme="minorHAnsi"/>
          <w:b/>
          <w:lang w:eastAsia="en-US"/>
        </w:rPr>
        <w:t>APPRECIATION DE LA BONNE CONDUITE GENERALE ET CONTRACTUELLE DU MARCHE</w:t>
      </w:r>
    </w:p>
    <w:p w:rsidR="00C46A5C" w:rsidRDefault="00C46A5C" w:rsidP="00C46A5C">
      <w:pPr>
        <w:autoSpaceDE w:val="0"/>
        <w:autoSpaceDN w:val="0"/>
        <w:adjustRightInd w:val="0"/>
        <w:spacing w:line="276" w:lineRule="auto"/>
        <w:rPr>
          <w:b/>
        </w:rPr>
      </w:pPr>
      <w:r>
        <w:rPr>
          <w:b/>
        </w:rPr>
        <w:t>5.2.3.0 Appréciation d’ensemble du respect de la norme de transparence de l’UEMOA</w:t>
      </w:r>
    </w:p>
    <w:p w:rsidR="00C46A5C" w:rsidRDefault="00C46A5C" w:rsidP="00C46A5C">
      <w:pPr>
        <w:autoSpaceDE w:val="0"/>
        <w:autoSpaceDN w:val="0"/>
        <w:adjustRightInd w:val="0"/>
        <w:spacing w:line="276" w:lineRule="auto"/>
      </w:pPr>
      <w:r>
        <w:t>Cette appréciation concerne l’ensemble des autorités contractantes constituant le lot 2.</w:t>
      </w:r>
    </w:p>
    <w:p w:rsidR="00C46A5C" w:rsidRDefault="00C46A5C" w:rsidP="00C46A5C">
      <w:pPr>
        <w:autoSpaceDE w:val="0"/>
        <w:autoSpaceDN w:val="0"/>
        <w:adjustRightInd w:val="0"/>
      </w:pPr>
    </w:p>
    <w:tbl>
      <w:tblPr>
        <w:tblW w:w="7103" w:type="dxa"/>
        <w:tblInd w:w="55" w:type="dxa"/>
        <w:tblCellMar>
          <w:left w:w="70" w:type="dxa"/>
          <w:right w:w="70" w:type="dxa"/>
        </w:tblCellMar>
        <w:tblLook w:val="04A0" w:firstRow="1" w:lastRow="0" w:firstColumn="1" w:lastColumn="0" w:noHBand="0" w:noVBand="1"/>
      </w:tblPr>
      <w:tblGrid>
        <w:gridCol w:w="3701"/>
        <w:gridCol w:w="992"/>
        <w:gridCol w:w="1276"/>
        <w:gridCol w:w="1134"/>
      </w:tblGrid>
      <w:tr w:rsidR="00C46A5C" w:rsidRPr="00032FB5" w:rsidTr="00CA62E1">
        <w:trPr>
          <w:trHeight w:val="402"/>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6A5C" w:rsidRPr="00032FB5" w:rsidRDefault="00C46A5C" w:rsidP="00CA62E1">
            <w:pPr>
              <w:rPr>
                <w:b/>
                <w:bCs/>
                <w:color w:val="000000"/>
              </w:rPr>
            </w:pPr>
            <w:r w:rsidRPr="00032FB5">
              <w:rPr>
                <w:b/>
                <w:bCs/>
                <w:color w:val="000000"/>
              </w:rPr>
              <w:t>Mode de passation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46A5C" w:rsidRPr="00032FB5" w:rsidRDefault="00C46A5C" w:rsidP="00CA62E1">
            <w:pPr>
              <w:rPr>
                <w:b/>
                <w:bCs/>
                <w:color w:val="000000"/>
              </w:rPr>
            </w:pPr>
            <w:r w:rsidRPr="00032FB5">
              <w:rPr>
                <w:b/>
                <w:bCs/>
                <w:color w:val="000000"/>
              </w:rPr>
              <w:t>Nombre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46A5C" w:rsidRPr="00032FB5" w:rsidRDefault="00C46A5C" w:rsidP="00CA62E1">
            <w:pPr>
              <w:rPr>
                <w:b/>
                <w:bCs/>
                <w:color w:val="000000"/>
              </w:rPr>
            </w:pPr>
            <w:r w:rsidRPr="00032FB5">
              <w:rPr>
                <w:b/>
                <w:bCs/>
                <w:color w:val="000000"/>
              </w:rPr>
              <w:t>% en nombre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6A5C" w:rsidRPr="00032FB5" w:rsidRDefault="00C46A5C" w:rsidP="00CA62E1">
            <w:pPr>
              <w:rPr>
                <w:b/>
                <w:bCs/>
                <w:color w:val="000000"/>
              </w:rPr>
            </w:pPr>
            <w:r w:rsidRPr="00032FB5">
              <w:rPr>
                <w:b/>
                <w:bCs/>
                <w:color w:val="000000"/>
              </w:rPr>
              <w:t>Normes UEMOA</w:t>
            </w:r>
          </w:p>
        </w:tc>
      </w:tr>
      <w:tr w:rsidR="00C46A5C" w:rsidRPr="00032FB5" w:rsidTr="00CA62E1">
        <w:trPr>
          <w:trHeight w:val="402"/>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C46A5C" w:rsidRPr="00032FB5" w:rsidRDefault="00C46A5C" w:rsidP="00CA62E1">
            <w:pPr>
              <w:rPr>
                <w:color w:val="000000"/>
              </w:rPr>
            </w:pPr>
            <w:r w:rsidRPr="00032FB5">
              <w:rPr>
                <w:color w:val="000000"/>
              </w:rPr>
              <w:t>Appel d’offres Ouvert</w:t>
            </w:r>
          </w:p>
        </w:tc>
        <w:tc>
          <w:tcPr>
            <w:tcW w:w="992" w:type="dxa"/>
            <w:tcBorders>
              <w:top w:val="nil"/>
              <w:left w:val="nil"/>
              <w:bottom w:val="single" w:sz="4" w:space="0" w:color="auto"/>
              <w:right w:val="single" w:sz="4" w:space="0" w:color="auto"/>
            </w:tcBorders>
            <w:shd w:val="clear" w:color="auto" w:fill="auto"/>
            <w:noWrap/>
            <w:vAlign w:val="center"/>
            <w:hideMark/>
          </w:tcPr>
          <w:p w:rsidR="00C46A5C" w:rsidRPr="00032FB5" w:rsidRDefault="00C46A5C" w:rsidP="00CA62E1">
            <w:pPr>
              <w:jc w:val="right"/>
              <w:rPr>
                <w:color w:val="000000"/>
              </w:rPr>
            </w:pPr>
            <w:r w:rsidRPr="00032FB5">
              <w:rPr>
                <w:color w:val="000000"/>
              </w:rPr>
              <w:t>67</w:t>
            </w:r>
          </w:p>
        </w:tc>
        <w:tc>
          <w:tcPr>
            <w:tcW w:w="1276" w:type="dxa"/>
            <w:tcBorders>
              <w:top w:val="nil"/>
              <w:left w:val="nil"/>
              <w:bottom w:val="single" w:sz="4" w:space="0" w:color="auto"/>
              <w:right w:val="single" w:sz="4" w:space="0" w:color="auto"/>
            </w:tcBorders>
            <w:shd w:val="clear" w:color="auto" w:fill="auto"/>
            <w:noWrap/>
            <w:vAlign w:val="bottom"/>
            <w:hideMark/>
          </w:tcPr>
          <w:p w:rsidR="00C46A5C" w:rsidRPr="00032FB5" w:rsidRDefault="00C46A5C" w:rsidP="00CA62E1">
            <w:pPr>
              <w:jc w:val="right"/>
              <w:rPr>
                <w:color w:val="000000"/>
              </w:rPr>
            </w:pPr>
            <w:r w:rsidRPr="00032FB5">
              <w:rPr>
                <w:color w:val="000000"/>
              </w:rPr>
              <w:t>38,73%</w:t>
            </w:r>
          </w:p>
        </w:tc>
        <w:tc>
          <w:tcPr>
            <w:tcW w:w="1134" w:type="dxa"/>
            <w:tcBorders>
              <w:top w:val="nil"/>
              <w:left w:val="nil"/>
              <w:bottom w:val="single" w:sz="4" w:space="0" w:color="auto"/>
              <w:right w:val="single" w:sz="4" w:space="0" w:color="auto"/>
            </w:tcBorders>
            <w:shd w:val="clear" w:color="auto" w:fill="auto"/>
            <w:noWrap/>
            <w:vAlign w:val="bottom"/>
            <w:hideMark/>
          </w:tcPr>
          <w:p w:rsidR="00C46A5C" w:rsidRPr="00032FB5" w:rsidRDefault="00C46A5C" w:rsidP="00CA62E1">
            <w:pPr>
              <w:jc w:val="right"/>
              <w:rPr>
                <w:color w:val="000000"/>
              </w:rPr>
            </w:pPr>
            <w:r w:rsidRPr="00032FB5">
              <w:rPr>
                <w:color w:val="000000"/>
              </w:rPr>
              <w:t>90%</w:t>
            </w:r>
          </w:p>
        </w:tc>
      </w:tr>
      <w:tr w:rsidR="00C46A5C" w:rsidRPr="00032FB5" w:rsidTr="00CA62E1">
        <w:trPr>
          <w:trHeight w:val="402"/>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C46A5C" w:rsidRPr="00032FB5" w:rsidRDefault="00C46A5C" w:rsidP="00CA62E1">
            <w:pPr>
              <w:rPr>
                <w:color w:val="000000"/>
              </w:rPr>
            </w:pPr>
            <w:r w:rsidRPr="00032FB5">
              <w:rPr>
                <w:color w:val="000000"/>
              </w:rPr>
              <w:t>Appel d’offres Restreint</w:t>
            </w:r>
          </w:p>
        </w:tc>
        <w:tc>
          <w:tcPr>
            <w:tcW w:w="992" w:type="dxa"/>
            <w:tcBorders>
              <w:top w:val="nil"/>
              <w:left w:val="nil"/>
              <w:bottom w:val="single" w:sz="4" w:space="0" w:color="auto"/>
              <w:right w:val="single" w:sz="4" w:space="0" w:color="auto"/>
            </w:tcBorders>
            <w:shd w:val="clear" w:color="auto" w:fill="auto"/>
            <w:noWrap/>
            <w:vAlign w:val="center"/>
            <w:hideMark/>
          </w:tcPr>
          <w:p w:rsidR="00C46A5C" w:rsidRPr="00032FB5" w:rsidRDefault="00C46A5C" w:rsidP="00CA62E1">
            <w:pPr>
              <w:jc w:val="right"/>
              <w:rPr>
                <w:color w:val="000000"/>
              </w:rPr>
            </w:pPr>
            <w:r w:rsidRPr="00032FB5">
              <w:rPr>
                <w:color w:val="000000"/>
              </w:rPr>
              <w:t>4</w:t>
            </w:r>
          </w:p>
        </w:tc>
        <w:tc>
          <w:tcPr>
            <w:tcW w:w="1276" w:type="dxa"/>
            <w:tcBorders>
              <w:top w:val="nil"/>
              <w:left w:val="nil"/>
              <w:bottom w:val="single" w:sz="4" w:space="0" w:color="auto"/>
              <w:right w:val="single" w:sz="4" w:space="0" w:color="auto"/>
            </w:tcBorders>
            <w:shd w:val="clear" w:color="auto" w:fill="auto"/>
            <w:noWrap/>
            <w:vAlign w:val="bottom"/>
            <w:hideMark/>
          </w:tcPr>
          <w:p w:rsidR="00C46A5C" w:rsidRPr="00032FB5" w:rsidRDefault="00C46A5C" w:rsidP="00CA62E1">
            <w:pPr>
              <w:jc w:val="right"/>
              <w:rPr>
                <w:color w:val="000000"/>
              </w:rPr>
            </w:pPr>
            <w:r w:rsidRPr="00032FB5">
              <w:rPr>
                <w:color w:val="000000"/>
              </w:rPr>
              <w:t>2,31%</w:t>
            </w:r>
          </w:p>
        </w:tc>
        <w:tc>
          <w:tcPr>
            <w:tcW w:w="1134" w:type="dxa"/>
            <w:tcBorders>
              <w:top w:val="nil"/>
              <w:left w:val="nil"/>
              <w:bottom w:val="single" w:sz="4" w:space="0" w:color="auto"/>
              <w:right w:val="single" w:sz="4" w:space="0" w:color="auto"/>
            </w:tcBorders>
            <w:shd w:val="clear" w:color="auto" w:fill="auto"/>
            <w:noWrap/>
            <w:vAlign w:val="bottom"/>
            <w:hideMark/>
          </w:tcPr>
          <w:p w:rsidR="00C46A5C" w:rsidRPr="00032FB5" w:rsidRDefault="00C46A5C" w:rsidP="00CA62E1">
            <w:pPr>
              <w:jc w:val="right"/>
              <w:rPr>
                <w:color w:val="000000"/>
              </w:rPr>
            </w:pPr>
            <w:r w:rsidRPr="00032FB5">
              <w:rPr>
                <w:color w:val="000000"/>
              </w:rPr>
              <w:t>5%</w:t>
            </w:r>
          </w:p>
        </w:tc>
      </w:tr>
      <w:tr w:rsidR="00C46A5C" w:rsidRPr="00032FB5" w:rsidTr="00CA62E1">
        <w:trPr>
          <w:trHeight w:val="402"/>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C46A5C" w:rsidRPr="00032FB5" w:rsidRDefault="00C46A5C" w:rsidP="00CA62E1">
            <w:pPr>
              <w:rPr>
                <w:color w:val="000000"/>
              </w:rPr>
            </w:pPr>
            <w:r w:rsidRPr="00032FB5">
              <w:rPr>
                <w:color w:val="000000"/>
              </w:rPr>
              <w:t>Entente Directe</w:t>
            </w:r>
          </w:p>
        </w:tc>
        <w:tc>
          <w:tcPr>
            <w:tcW w:w="992" w:type="dxa"/>
            <w:tcBorders>
              <w:top w:val="nil"/>
              <w:left w:val="nil"/>
              <w:bottom w:val="single" w:sz="4" w:space="0" w:color="auto"/>
              <w:right w:val="single" w:sz="4" w:space="0" w:color="auto"/>
            </w:tcBorders>
            <w:shd w:val="clear" w:color="auto" w:fill="auto"/>
            <w:noWrap/>
            <w:vAlign w:val="center"/>
            <w:hideMark/>
          </w:tcPr>
          <w:p w:rsidR="00C46A5C" w:rsidRPr="00032FB5" w:rsidRDefault="00C46A5C" w:rsidP="00CA62E1">
            <w:pPr>
              <w:jc w:val="right"/>
              <w:rPr>
                <w:color w:val="000000"/>
              </w:rPr>
            </w:pPr>
            <w:r w:rsidRPr="00032FB5">
              <w:rPr>
                <w:color w:val="000000"/>
              </w:rPr>
              <w:t>33</w:t>
            </w:r>
          </w:p>
        </w:tc>
        <w:tc>
          <w:tcPr>
            <w:tcW w:w="1276" w:type="dxa"/>
            <w:tcBorders>
              <w:top w:val="nil"/>
              <w:left w:val="nil"/>
              <w:bottom w:val="single" w:sz="4" w:space="0" w:color="auto"/>
              <w:right w:val="single" w:sz="4" w:space="0" w:color="auto"/>
            </w:tcBorders>
            <w:shd w:val="clear" w:color="auto" w:fill="auto"/>
            <w:noWrap/>
            <w:vAlign w:val="bottom"/>
            <w:hideMark/>
          </w:tcPr>
          <w:p w:rsidR="00C46A5C" w:rsidRPr="00032FB5" w:rsidRDefault="00C46A5C" w:rsidP="00CA62E1">
            <w:pPr>
              <w:jc w:val="right"/>
              <w:rPr>
                <w:color w:val="000000"/>
              </w:rPr>
            </w:pPr>
            <w:r w:rsidRPr="00032FB5">
              <w:rPr>
                <w:color w:val="000000"/>
              </w:rPr>
              <w:t>19,08%</w:t>
            </w:r>
          </w:p>
        </w:tc>
        <w:tc>
          <w:tcPr>
            <w:tcW w:w="1134" w:type="dxa"/>
            <w:tcBorders>
              <w:top w:val="nil"/>
              <w:left w:val="nil"/>
              <w:bottom w:val="single" w:sz="4" w:space="0" w:color="auto"/>
              <w:right w:val="single" w:sz="4" w:space="0" w:color="auto"/>
            </w:tcBorders>
            <w:shd w:val="clear" w:color="auto" w:fill="auto"/>
            <w:noWrap/>
            <w:vAlign w:val="bottom"/>
            <w:hideMark/>
          </w:tcPr>
          <w:p w:rsidR="00C46A5C" w:rsidRPr="00032FB5" w:rsidRDefault="00C46A5C" w:rsidP="00CA62E1">
            <w:pPr>
              <w:jc w:val="right"/>
              <w:rPr>
                <w:color w:val="000000"/>
              </w:rPr>
            </w:pPr>
            <w:r w:rsidRPr="00032FB5">
              <w:rPr>
                <w:color w:val="000000"/>
              </w:rPr>
              <w:t>5%</w:t>
            </w:r>
          </w:p>
        </w:tc>
      </w:tr>
      <w:tr w:rsidR="00C46A5C" w:rsidRPr="00032FB5" w:rsidTr="00CA62E1">
        <w:trPr>
          <w:trHeight w:val="40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C46A5C" w:rsidRPr="00032FB5" w:rsidRDefault="00C46A5C" w:rsidP="00CA62E1">
            <w:pPr>
              <w:rPr>
                <w:color w:val="000000"/>
              </w:rPr>
            </w:pPr>
            <w:r w:rsidRPr="00032FB5">
              <w:rPr>
                <w:color w:val="000000"/>
              </w:rPr>
              <w:t>Consultation des Fournisseurs</w:t>
            </w:r>
          </w:p>
        </w:tc>
        <w:tc>
          <w:tcPr>
            <w:tcW w:w="992" w:type="dxa"/>
            <w:tcBorders>
              <w:top w:val="nil"/>
              <w:left w:val="nil"/>
              <w:bottom w:val="single" w:sz="4" w:space="0" w:color="auto"/>
              <w:right w:val="single" w:sz="4" w:space="0" w:color="auto"/>
            </w:tcBorders>
            <w:shd w:val="clear" w:color="auto" w:fill="auto"/>
            <w:noWrap/>
            <w:vAlign w:val="center"/>
            <w:hideMark/>
          </w:tcPr>
          <w:p w:rsidR="00C46A5C" w:rsidRPr="00032FB5" w:rsidRDefault="00C46A5C" w:rsidP="00CA62E1">
            <w:pPr>
              <w:jc w:val="right"/>
              <w:rPr>
                <w:color w:val="000000"/>
              </w:rPr>
            </w:pPr>
            <w:r w:rsidRPr="00032FB5">
              <w:rPr>
                <w:color w:val="000000"/>
              </w:rPr>
              <w:t>4</w:t>
            </w:r>
          </w:p>
        </w:tc>
        <w:tc>
          <w:tcPr>
            <w:tcW w:w="1276" w:type="dxa"/>
            <w:tcBorders>
              <w:top w:val="nil"/>
              <w:left w:val="nil"/>
              <w:bottom w:val="single" w:sz="4" w:space="0" w:color="auto"/>
              <w:right w:val="single" w:sz="4" w:space="0" w:color="auto"/>
            </w:tcBorders>
            <w:shd w:val="clear" w:color="auto" w:fill="auto"/>
            <w:noWrap/>
            <w:vAlign w:val="bottom"/>
            <w:hideMark/>
          </w:tcPr>
          <w:p w:rsidR="00C46A5C" w:rsidRPr="00032FB5" w:rsidRDefault="00C46A5C" w:rsidP="00CA62E1">
            <w:pPr>
              <w:jc w:val="right"/>
              <w:rPr>
                <w:color w:val="000000"/>
              </w:rPr>
            </w:pPr>
            <w:r w:rsidRPr="00032FB5">
              <w:rPr>
                <w:color w:val="000000"/>
              </w:rPr>
              <w:t>2,31%</w:t>
            </w:r>
          </w:p>
        </w:tc>
        <w:tc>
          <w:tcPr>
            <w:tcW w:w="1134" w:type="dxa"/>
            <w:tcBorders>
              <w:top w:val="nil"/>
              <w:left w:val="nil"/>
              <w:bottom w:val="single" w:sz="4" w:space="0" w:color="auto"/>
              <w:right w:val="single" w:sz="4" w:space="0" w:color="auto"/>
            </w:tcBorders>
            <w:shd w:val="clear" w:color="auto" w:fill="auto"/>
            <w:noWrap/>
            <w:vAlign w:val="center"/>
            <w:hideMark/>
          </w:tcPr>
          <w:p w:rsidR="00C46A5C" w:rsidRPr="00B46FA7" w:rsidRDefault="00C46A5C" w:rsidP="00CA62E1">
            <w:pPr>
              <w:jc w:val="center"/>
              <w:rPr>
                <w:rFonts w:ascii="Calibri" w:hAnsi="Calibri" w:cs="Calibri"/>
                <w:color w:val="000000"/>
              </w:rPr>
            </w:pPr>
            <w:r>
              <w:rPr>
                <w:rFonts w:ascii="Calibri" w:hAnsi="Calibri" w:cs="Calibri"/>
                <w:color w:val="000000"/>
              </w:rPr>
              <w:t>-</w:t>
            </w:r>
          </w:p>
        </w:tc>
      </w:tr>
      <w:tr w:rsidR="00C46A5C" w:rsidRPr="00032FB5" w:rsidTr="00CA62E1">
        <w:trPr>
          <w:trHeight w:val="402"/>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C46A5C" w:rsidRPr="00032FB5" w:rsidRDefault="00C46A5C" w:rsidP="00CA62E1">
            <w:pPr>
              <w:rPr>
                <w:color w:val="000000"/>
              </w:rPr>
            </w:pPr>
            <w:r w:rsidRPr="00032FB5">
              <w:rPr>
                <w:color w:val="000000"/>
              </w:rPr>
              <w:t>Achat sur simple facture</w:t>
            </w:r>
          </w:p>
        </w:tc>
        <w:tc>
          <w:tcPr>
            <w:tcW w:w="992" w:type="dxa"/>
            <w:tcBorders>
              <w:top w:val="nil"/>
              <w:left w:val="nil"/>
              <w:bottom w:val="single" w:sz="4" w:space="0" w:color="auto"/>
              <w:right w:val="single" w:sz="4" w:space="0" w:color="auto"/>
            </w:tcBorders>
            <w:shd w:val="clear" w:color="auto" w:fill="auto"/>
            <w:noWrap/>
            <w:vAlign w:val="center"/>
            <w:hideMark/>
          </w:tcPr>
          <w:p w:rsidR="00C46A5C" w:rsidRPr="00032FB5" w:rsidRDefault="00C46A5C" w:rsidP="00CA62E1">
            <w:pPr>
              <w:jc w:val="right"/>
              <w:rPr>
                <w:color w:val="000000"/>
              </w:rPr>
            </w:pPr>
            <w:r w:rsidRPr="00032FB5">
              <w:rPr>
                <w:color w:val="000000"/>
              </w:rPr>
              <w:t>65</w:t>
            </w:r>
          </w:p>
        </w:tc>
        <w:tc>
          <w:tcPr>
            <w:tcW w:w="1276" w:type="dxa"/>
            <w:tcBorders>
              <w:top w:val="nil"/>
              <w:left w:val="nil"/>
              <w:bottom w:val="single" w:sz="4" w:space="0" w:color="auto"/>
              <w:right w:val="single" w:sz="4" w:space="0" w:color="auto"/>
            </w:tcBorders>
            <w:shd w:val="clear" w:color="auto" w:fill="auto"/>
            <w:noWrap/>
            <w:vAlign w:val="bottom"/>
            <w:hideMark/>
          </w:tcPr>
          <w:p w:rsidR="00C46A5C" w:rsidRPr="00032FB5" w:rsidRDefault="00C46A5C" w:rsidP="00CA62E1">
            <w:pPr>
              <w:jc w:val="right"/>
              <w:rPr>
                <w:color w:val="000000"/>
              </w:rPr>
            </w:pPr>
            <w:r w:rsidRPr="00032FB5">
              <w:rPr>
                <w:color w:val="000000"/>
              </w:rPr>
              <w:t>37,57%</w:t>
            </w:r>
          </w:p>
        </w:tc>
        <w:tc>
          <w:tcPr>
            <w:tcW w:w="1134" w:type="dxa"/>
            <w:tcBorders>
              <w:top w:val="nil"/>
              <w:left w:val="nil"/>
              <w:bottom w:val="single" w:sz="4" w:space="0" w:color="auto"/>
              <w:right w:val="single" w:sz="4" w:space="0" w:color="auto"/>
            </w:tcBorders>
            <w:shd w:val="clear" w:color="auto" w:fill="auto"/>
            <w:noWrap/>
            <w:vAlign w:val="center"/>
            <w:hideMark/>
          </w:tcPr>
          <w:p w:rsidR="00C46A5C" w:rsidRPr="00B46FA7" w:rsidRDefault="00C46A5C" w:rsidP="00CA62E1">
            <w:pPr>
              <w:jc w:val="center"/>
              <w:rPr>
                <w:rFonts w:ascii="Calibri" w:hAnsi="Calibri" w:cs="Calibri"/>
                <w:color w:val="000000"/>
              </w:rPr>
            </w:pPr>
            <w:r>
              <w:rPr>
                <w:rFonts w:ascii="Calibri" w:hAnsi="Calibri" w:cs="Calibri"/>
                <w:color w:val="000000"/>
              </w:rPr>
              <w:t>-</w:t>
            </w:r>
          </w:p>
        </w:tc>
      </w:tr>
      <w:tr w:rsidR="00C46A5C" w:rsidRPr="00032FB5" w:rsidTr="00CA62E1">
        <w:trPr>
          <w:trHeight w:val="402"/>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C46A5C" w:rsidRPr="00032FB5" w:rsidRDefault="00C46A5C" w:rsidP="00CA62E1">
            <w:pPr>
              <w:rPr>
                <w:b/>
                <w:bCs/>
                <w:color w:val="000000"/>
              </w:rPr>
            </w:pPr>
            <w:r w:rsidRPr="00032FB5">
              <w:rPr>
                <w:b/>
                <w:bCs/>
                <w:color w:val="000000"/>
              </w:rPr>
              <w:t>TOTAL</w:t>
            </w:r>
          </w:p>
        </w:tc>
        <w:tc>
          <w:tcPr>
            <w:tcW w:w="992" w:type="dxa"/>
            <w:tcBorders>
              <w:top w:val="nil"/>
              <w:left w:val="nil"/>
              <w:bottom w:val="single" w:sz="4" w:space="0" w:color="auto"/>
              <w:right w:val="single" w:sz="4" w:space="0" w:color="auto"/>
            </w:tcBorders>
            <w:shd w:val="clear" w:color="auto" w:fill="auto"/>
            <w:noWrap/>
            <w:vAlign w:val="bottom"/>
            <w:hideMark/>
          </w:tcPr>
          <w:p w:rsidR="00C46A5C" w:rsidRPr="00032FB5" w:rsidRDefault="00C46A5C" w:rsidP="00CA62E1">
            <w:pPr>
              <w:jc w:val="right"/>
              <w:rPr>
                <w:b/>
                <w:bCs/>
                <w:color w:val="000000"/>
              </w:rPr>
            </w:pPr>
            <w:r w:rsidRPr="00032FB5">
              <w:rPr>
                <w:b/>
                <w:bCs/>
                <w:color w:val="000000"/>
              </w:rPr>
              <w:t>173</w:t>
            </w:r>
          </w:p>
        </w:tc>
        <w:tc>
          <w:tcPr>
            <w:tcW w:w="1276" w:type="dxa"/>
            <w:tcBorders>
              <w:top w:val="nil"/>
              <w:left w:val="nil"/>
              <w:bottom w:val="single" w:sz="4" w:space="0" w:color="auto"/>
              <w:right w:val="single" w:sz="4" w:space="0" w:color="auto"/>
            </w:tcBorders>
            <w:shd w:val="clear" w:color="auto" w:fill="auto"/>
            <w:noWrap/>
            <w:vAlign w:val="bottom"/>
            <w:hideMark/>
          </w:tcPr>
          <w:p w:rsidR="00C46A5C" w:rsidRPr="00032FB5" w:rsidRDefault="00C46A5C" w:rsidP="00CA62E1">
            <w:pPr>
              <w:jc w:val="right"/>
              <w:rPr>
                <w:b/>
                <w:bCs/>
                <w:color w:val="000000"/>
              </w:rPr>
            </w:pPr>
            <w:r w:rsidRPr="00032FB5">
              <w:rPr>
                <w:b/>
                <w:bCs/>
                <w:color w:val="000000"/>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C46A5C" w:rsidRPr="00B46FA7" w:rsidRDefault="00C46A5C" w:rsidP="00CA62E1">
            <w:pPr>
              <w:jc w:val="center"/>
              <w:rPr>
                <w:rFonts w:ascii="Calibri" w:hAnsi="Calibri" w:cs="Calibri"/>
                <w:color w:val="000000"/>
              </w:rPr>
            </w:pPr>
            <w:r>
              <w:rPr>
                <w:rFonts w:ascii="Calibri" w:hAnsi="Calibri" w:cs="Calibri"/>
                <w:color w:val="000000"/>
              </w:rPr>
              <w:t>-</w:t>
            </w:r>
          </w:p>
        </w:tc>
      </w:tr>
    </w:tbl>
    <w:p w:rsidR="00C46A5C" w:rsidRDefault="00C46A5C" w:rsidP="00C46A5C"/>
    <w:p w:rsidR="00C46A5C" w:rsidRDefault="00C46A5C" w:rsidP="00C46A5C">
      <w:pPr>
        <w:autoSpaceDE w:val="0"/>
        <w:autoSpaceDN w:val="0"/>
        <w:adjustRightInd w:val="0"/>
        <w:spacing w:line="276" w:lineRule="auto"/>
      </w:pPr>
      <w:r>
        <w:t xml:space="preserve">Pour l’ensemble du lot 2, la norme de transparence de l’UEMOA n’est pas respectée. Nous notons un recours élevé aux </w:t>
      </w:r>
      <w:r w:rsidR="00F27064">
        <w:t>achats sur simple facture</w:t>
      </w:r>
      <w:r>
        <w:t xml:space="preserve"> et à l’entente directe.</w:t>
      </w:r>
    </w:p>
    <w:p w:rsidR="00C46A5C" w:rsidRDefault="00C46A5C" w:rsidP="00F2267D">
      <w:pPr>
        <w:spacing w:after="160" w:line="276" w:lineRule="auto"/>
        <w:jc w:val="both"/>
        <w:rPr>
          <w:rFonts w:eastAsiaTheme="minorHAnsi"/>
          <w:b/>
          <w:lang w:eastAsia="en-US"/>
        </w:rPr>
      </w:pP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5.2.3.1 Avis de conformité</w:t>
      </w:r>
      <w:bookmarkStart w:id="0" w:name="_GoBack"/>
      <w:bookmarkEnd w:id="0"/>
      <w:r w:rsidRPr="00F2267D">
        <w:rPr>
          <w:rFonts w:eastAsiaTheme="minorHAnsi"/>
          <w:b/>
          <w:lang w:eastAsia="en-US"/>
        </w:rPr>
        <w:t xml:space="preserve"> sur le DAO                                       </w:t>
      </w:r>
      <w:r w:rsidR="00A65586">
        <w:rPr>
          <w:rFonts w:eastAsiaTheme="minorHAnsi"/>
          <w:b/>
          <w:lang w:eastAsia="en-US"/>
        </w:rPr>
        <w:t xml:space="preserve">                              </w:t>
      </w:r>
      <w:r w:rsidR="00243A1A">
        <w:rPr>
          <w:rFonts w:eastAsiaTheme="minorHAnsi"/>
          <w:b/>
          <w:lang w:eastAsia="en-US"/>
        </w:rPr>
        <w:t xml:space="preserve">         </w:t>
      </w:r>
      <w:r w:rsidR="00A65586">
        <w:rPr>
          <w:rFonts w:eastAsiaTheme="minorHAnsi"/>
          <w:b/>
          <w:lang w:eastAsia="en-US"/>
        </w:rPr>
        <w:t>(3</w:t>
      </w:r>
      <w:r w:rsidRPr="00F2267D">
        <w:rPr>
          <w:rFonts w:eastAsiaTheme="minorHAnsi"/>
          <w:b/>
          <w:lang w:eastAsia="en-US"/>
        </w:rPr>
        <w:t>/9)</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5.2.3.1.1 Constat</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Cette insuffisance concerne les autorités contractantes suivantes :</w:t>
      </w:r>
    </w:p>
    <w:p w:rsidR="00F2267D" w:rsidRPr="00F2267D" w:rsidRDefault="00F2267D" w:rsidP="00F2267D">
      <w:pPr>
        <w:numPr>
          <w:ilvl w:val="0"/>
          <w:numId w:val="50"/>
        </w:numPr>
        <w:spacing w:after="160" w:line="276" w:lineRule="auto"/>
        <w:contextualSpacing/>
        <w:jc w:val="both"/>
        <w:rPr>
          <w:rFonts w:eastAsiaTheme="minorHAnsi"/>
          <w:lang w:eastAsia="en-US"/>
        </w:rPr>
      </w:pPr>
      <w:r w:rsidRPr="00F2267D">
        <w:rPr>
          <w:rFonts w:eastAsiaTheme="minorHAnsi"/>
          <w:lang w:eastAsia="en-US"/>
        </w:rPr>
        <w:t>Ministère de l’Equipement/CAFER ;</w:t>
      </w:r>
    </w:p>
    <w:p w:rsidR="00F2267D" w:rsidRPr="00F2267D" w:rsidRDefault="00F2267D" w:rsidP="00F2267D">
      <w:pPr>
        <w:numPr>
          <w:ilvl w:val="0"/>
          <w:numId w:val="50"/>
        </w:numPr>
        <w:spacing w:after="160" w:line="276" w:lineRule="auto"/>
        <w:contextualSpacing/>
        <w:jc w:val="both"/>
        <w:rPr>
          <w:rFonts w:eastAsiaTheme="minorHAnsi"/>
          <w:lang w:eastAsia="en-US"/>
        </w:rPr>
      </w:pPr>
      <w:r w:rsidRPr="00F2267D">
        <w:rPr>
          <w:rFonts w:eastAsiaTheme="minorHAnsi"/>
          <w:lang w:eastAsia="en-US"/>
        </w:rPr>
        <w:t>Cellule de Crises Alimentaire ;</w:t>
      </w:r>
    </w:p>
    <w:p w:rsidR="00F2267D" w:rsidRPr="00F2267D" w:rsidRDefault="00F2267D" w:rsidP="00F2267D">
      <w:pPr>
        <w:numPr>
          <w:ilvl w:val="0"/>
          <w:numId w:val="50"/>
        </w:numPr>
        <w:spacing w:after="160" w:line="276" w:lineRule="auto"/>
        <w:contextualSpacing/>
        <w:jc w:val="both"/>
        <w:rPr>
          <w:rFonts w:eastAsiaTheme="minorHAnsi"/>
          <w:lang w:eastAsia="en-US"/>
        </w:rPr>
      </w:pPr>
      <w:r w:rsidRPr="00F2267D">
        <w:rPr>
          <w:rFonts w:eastAsiaTheme="minorHAnsi"/>
          <w:lang w:eastAsia="en-US"/>
        </w:rPr>
        <w:t>Société Nigérienne des Produits Pétroliers ;</w:t>
      </w:r>
    </w:p>
    <w:p w:rsidR="00243A1A" w:rsidRDefault="00243A1A" w:rsidP="00F2267D">
      <w:pPr>
        <w:autoSpaceDE w:val="0"/>
        <w:autoSpaceDN w:val="0"/>
        <w:adjustRightInd w:val="0"/>
        <w:spacing w:after="160" w:line="276" w:lineRule="auto"/>
        <w:rPr>
          <w:rFonts w:eastAsiaTheme="minorHAnsi"/>
          <w:b/>
          <w:lang w:eastAsia="en-US"/>
        </w:rPr>
      </w:pPr>
    </w:p>
    <w:p w:rsidR="00F2267D" w:rsidRPr="00F2267D" w:rsidRDefault="00F2267D" w:rsidP="00F2267D">
      <w:pPr>
        <w:autoSpaceDE w:val="0"/>
        <w:autoSpaceDN w:val="0"/>
        <w:adjustRightInd w:val="0"/>
        <w:spacing w:after="160" w:line="276" w:lineRule="auto"/>
        <w:rPr>
          <w:rFonts w:eastAsiaTheme="minorHAnsi"/>
          <w:b/>
          <w:lang w:eastAsia="en-US"/>
        </w:rPr>
      </w:pPr>
      <w:r w:rsidRPr="00F2267D">
        <w:rPr>
          <w:rFonts w:eastAsiaTheme="minorHAnsi"/>
          <w:b/>
          <w:lang w:eastAsia="en-US"/>
        </w:rPr>
        <w:t>5.2.3.1.2 Recommandation</w:t>
      </w:r>
    </w:p>
    <w:p w:rsidR="00F2267D" w:rsidRPr="00F2267D" w:rsidRDefault="00F2267D" w:rsidP="00243A1A">
      <w:pPr>
        <w:autoSpaceDE w:val="0"/>
        <w:autoSpaceDN w:val="0"/>
        <w:adjustRightInd w:val="0"/>
        <w:spacing w:after="160" w:line="276" w:lineRule="auto"/>
        <w:rPr>
          <w:rFonts w:eastAsiaTheme="minorHAnsi"/>
          <w:b/>
          <w:lang w:eastAsia="en-US"/>
        </w:rPr>
      </w:pPr>
      <w:r w:rsidRPr="00F2267D">
        <w:rPr>
          <w:rFonts w:eastAsiaTheme="minorHAnsi"/>
          <w:color w:val="000000"/>
          <w:lang w:eastAsia="en-US"/>
        </w:rPr>
        <w:t xml:space="preserve">Nous recommandons de joindre </w:t>
      </w:r>
      <w:r w:rsidRPr="00F2267D">
        <w:rPr>
          <w:rFonts w:eastAsiaTheme="minorHAnsi"/>
          <w:color w:val="000000" w:themeColor="text1"/>
          <w:lang w:eastAsia="en-US"/>
        </w:rPr>
        <w:t xml:space="preserve"> l’avis de la DGCMP/EF sur les dossiers d’appel d’offres.</w:t>
      </w:r>
    </w:p>
    <w:p w:rsidR="00243A1A" w:rsidRDefault="00243A1A" w:rsidP="00F2267D">
      <w:pPr>
        <w:spacing w:after="160" w:line="276" w:lineRule="auto"/>
        <w:jc w:val="both"/>
        <w:rPr>
          <w:rFonts w:eastAsiaTheme="minorHAnsi"/>
          <w:b/>
          <w:lang w:eastAsia="en-US"/>
        </w:rPr>
      </w:pP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5.2.3.2 Non-respect des règles de publicité des plans de passation des marchés           (4/9)</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5.2.3.2.1 Constat</w:t>
      </w:r>
    </w:p>
    <w:p w:rsidR="00F2267D" w:rsidRPr="00F2267D" w:rsidRDefault="00F2267D" w:rsidP="00F2267D">
      <w:pPr>
        <w:spacing w:after="160" w:line="276" w:lineRule="auto"/>
        <w:jc w:val="both"/>
        <w:rPr>
          <w:rFonts w:eastAsiaTheme="minorHAnsi"/>
          <w:i/>
          <w:lang w:eastAsia="en-US"/>
        </w:rPr>
      </w:pPr>
      <w:r w:rsidRPr="00F2267D">
        <w:rPr>
          <w:rFonts w:eastAsiaTheme="minorHAnsi"/>
          <w:lang w:eastAsia="en-US"/>
        </w:rPr>
        <w:t xml:space="preserve">Selon l’article 2 de l’arrêté 34/CAB/PM/ARMP du 21 janvier 2014 fixant les délais dans le cadre de la passation des marchés publics et des délégations de service public « </w:t>
      </w:r>
      <w:r w:rsidRPr="00F2267D">
        <w:rPr>
          <w:rFonts w:eastAsiaTheme="minorHAnsi"/>
          <w:i/>
          <w:lang w:eastAsia="en-US"/>
        </w:rPr>
        <w:t>le plan prévisionnel de passation des marchés publics élaboré par l’autorité contractante au plus tard le 15 janvier de l’année budgétaire en cours.</w:t>
      </w:r>
    </w:p>
    <w:p w:rsidR="00F2267D" w:rsidRPr="00F2267D" w:rsidRDefault="00F2267D" w:rsidP="00F2267D">
      <w:pPr>
        <w:spacing w:after="160" w:line="276" w:lineRule="auto"/>
        <w:jc w:val="both"/>
        <w:rPr>
          <w:rFonts w:eastAsiaTheme="minorHAnsi"/>
          <w:i/>
          <w:lang w:eastAsia="en-US"/>
        </w:rPr>
      </w:pPr>
      <w:r w:rsidRPr="00F2267D">
        <w:rPr>
          <w:rFonts w:eastAsiaTheme="minorHAnsi"/>
          <w:i/>
          <w:lang w:eastAsia="en-US"/>
        </w:rPr>
        <w:t>La publication du plan prévisionnel est faite au journal des marchés publics au plus tard le 31 janvier de la même année.»</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lastRenderedPageBreak/>
        <w:t>Cette insuffisance concerne les autorités contractantes suivantes :</w:t>
      </w:r>
    </w:p>
    <w:p w:rsidR="00F2267D" w:rsidRPr="00F2267D" w:rsidRDefault="00F2267D" w:rsidP="00F2267D">
      <w:pPr>
        <w:numPr>
          <w:ilvl w:val="0"/>
          <w:numId w:val="51"/>
        </w:numPr>
        <w:spacing w:after="160" w:line="276" w:lineRule="auto"/>
        <w:contextualSpacing/>
        <w:jc w:val="both"/>
        <w:rPr>
          <w:rFonts w:eastAsiaTheme="minorHAnsi"/>
          <w:lang w:eastAsia="en-US"/>
        </w:rPr>
      </w:pPr>
      <w:r w:rsidRPr="00F2267D">
        <w:rPr>
          <w:rFonts w:eastAsiaTheme="minorHAnsi"/>
          <w:lang w:eastAsia="en-US"/>
        </w:rPr>
        <w:t>Cellule de Crises Alimentaire ;</w:t>
      </w:r>
    </w:p>
    <w:p w:rsidR="00F2267D" w:rsidRPr="00F2267D" w:rsidRDefault="00F2267D" w:rsidP="00F2267D">
      <w:pPr>
        <w:numPr>
          <w:ilvl w:val="0"/>
          <w:numId w:val="51"/>
        </w:numPr>
        <w:spacing w:after="160" w:line="276" w:lineRule="auto"/>
        <w:contextualSpacing/>
        <w:jc w:val="both"/>
        <w:rPr>
          <w:rFonts w:eastAsiaTheme="minorHAnsi"/>
          <w:lang w:eastAsia="en-US"/>
        </w:rPr>
      </w:pPr>
      <w:r w:rsidRPr="00F2267D">
        <w:rPr>
          <w:rFonts w:eastAsiaTheme="minorHAnsi"/>
          <w:lang w:eastAsia="en-US"/>
        </w:rPr>
        <w:t>Cellule de Coordination Humanitaire ;</w:t>
      </w:r>
    </w:p>
    <w:p w:rsidR="00F2267D" w:rsidRPr="00F2267D" w:rsidRDefault="00F2267D" w:rsidP="00F2267D">
      <w:pPr>
        <w:numPr>
          <w:ilvl w:val="0"/>
          <w:numId w:val="51"/>
        </w:numPr>
        <w:spacing w:after="160" w:line="276" w:lineRule="auto"/>
        <w:contextualSpacing/>
        <w:jc w:val="both"/>
        <w:rPr>
          <w:rFonts w:eastAsiaTheme="minorHAnsi"/>
          <w:lang w:eastAsia="en-US"/>
        </w:rPr>
      </w:pPr>
      <w:r w:rsidRPr="00F2267D">
        <w:rPr>
          <w:rFonts w:eastAsiaTheme="minorHAnsi"/>
          <w:lang w:eastAsia="en-US"/>
        </w:rPr>
        <w:t xml:space="preserve">Haut-Commissariat à l’Aménagement de la Vallée du Niger ; </w:t>
      </w:r>
    </w:p>
    <w:p w:rsidR="00F2267D" w:rsidRDefault="00F2267D" w:rsidP="00F2267D">
      <w:pPr>
        <w:numPr>
          <w:ilvl w:val="0"/>
          <w:numId w:val="51"/>
        </w:numPr>
        <w:spacing w:after="160" w:line="276" w:lineRule="auto"/>
        <w:contextualSpacing/>
        <w:jc w:val="both"/>
        <w:rPr>
          <w:rFonts w:eastAsiaTheme="minorHAnsi"/>
          <w:lang w:eastAsia="en-US"/>
        </w:rPr>
      </w:pPr>
      <w:r w:rsidRPr="00F2267D">
        <w:rPr>
          <w:rFonts w:eastAsiaTheme="minorHAnsi"/>
          <w:lang w:eastAsia="en-US"/>
        </w:rPr>
        <w:t>Société Nigérienne des Produits Pétroliers ;</w:t>
      </w:r>
    </w:p>
    <w:p w:rsidR="001D781A" w:rsidRPr="00F2267D" w:rsidRDefault="001D781A" w:rsidP="001D781A">
      <w:pPr>
        <w:spacing w:after="160" w:line="276" w:lineRule="auto"/>
        <w:ind w:left="720"/>
        <w:contextualSpacing/>
        <w:jc w:val="both"/>
        <w:rPr>
          <w:rFonts w:eastAsiaTheme="minorHAnsi"/>
          <w:lang w:eastAsia="en-US"/>
        </w:rPr>
      </w:pP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5.2.3.2.2 Recommandation</w:t>
      </w:r>
    </w:p>
    <w:p w:rsidR="00F2267D" w:rsidRDefault="00F2267D" w:rsidP="00F2267D">
      <w:pPr>
        <w:spacing w:after="160" w:line="276" w:lineRule="auto"/>
        <w:jc w:val="both"/>
        <w:rPr>
          <w:rFonts w:eastAsiaTheme="minorHAnsi"/>
          <w:lang w:eastAsia="en-US"/>
        </w:rPr>
      </w:pPr>
      <w:r w:rsidRPr="00F2267D">
        <w:rPr>
          <w:rFonts w:eastAsiaTheme="minorHAnsi"/>
          <w:lang w:eastAsia="en-US"/>
        </w:rPr>
        <w:t>Nous recommandons le respect des règles de publicité des plans de passation des marchés</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5.2.3.3 Non-respect des règles de publicité des Avis d’Appel d’Offres                       (2/9)</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5.2.3.3.1 Constat</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Au cours de nos travaux nous n’avons pas  disposé des supports de publicités pour les  appels d’offres ci-après conformément à l’article 66 du décret 2013-519/PRN/PM du 20 décembre 2013 portant code des marchés publics et des délégations de service public.</w:t>
      </w:r>
      <w:r w:rsidR="00A65586">
        <w:rPr>
          <w:rFonts w:eastAsiaTheme="minorHAnsi"/>
          <w:lang w:eastAsia="en-US"/>
        </w:rPr>
        <w:t xml:space="preserve"> </w:t>
      </w:r>
      <w:r w:rsidRPr="00F2267D">
        <w:rPr>
          <w:rFonts w:eastAsiaTheme="minorHAnsi"/>
          <w:lang w:eastAsia="en-US"/>
        </w:rPr>
        <w:t>Cette insuffisance concerne les autorités contractantes suivantes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 xml:space="preserve">Haut-Commissariat à l’Aménagement de la Vallée du Niger ; </w:t>
      </w:r>
    </w:p>
    <w:p w:rsid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Société Nigérienne des Produits Pétroliers ;</w:t>
      </w:r>
    </w:p>
    <w:p w:rsidR="001D781A" w:rsidRPr="00F2267D" w:rsidRDefault="001D781A" w:rsidP="001D781A">
      <w:pPr>
        <w:spacing w:after="160" w:line="276" w:lineRule="auto"/>
        <w:ind w:left="720"/>
        <w:contextualSpacing/>
        <w:jc w:val="both"/>
        <w:rPr>
          <w:rFonts w:eastAsiaTheme="minorHAnsi"/>
          <w:lang w:eastAsia="en-US"/>
        </w:rPr>
      </w:pPr>
    </w:p>
    <w:p w:rsidR="00F2267D" w:rsidRPr="00F2267D" w:rsidRDefault="00F2267D" w:rsidP="00F2267D">
      <w:pPr>
        <w:spacing w:after="160" w:line="276" w:lineRule="auto"/>
        <w:jc w:val="both"/>
        <w:rPr>
          <w:rFonts w:eastAsiaTheme="minorHAnsi"/>
          <w:lang w:eastAsia="en-US"/>
        </w:rPr>
      </w:pPr>
      <w:r w:rsidRPr="00F2267D">
        <w:rPr>
          <w:rFonts w:eastAsiaTheme="minorHAnsi"/>
          <w:b/>
          <w:lang w:eastAsia="en-US"/>
        </w:rPr>
        <w:t>5.2.3.3.2 Recommandation</w:t>
      </w:r>
    </w:p>
    <w:p w:rsidR="00F2267D" w:rsidRPr="00F2267D" w:rsidRDefault="00F2267D" w:rsidP="00F2267D">
      <w:pPr>
        <w:spacing w:after="160" w:line="276" w:lineRule="auto"/>
        <w:rPr>
          <w:rFonts w:eastAsiaTheme="minorHAnsi"/>
          <w:lang w:eastAsia="en-US"/>
        </w:rPr>
      </w:pPr>
      <w:r w:rsidRPr="00F2267D">
        <w:rPr>
          <w:rFonts w:eastAsiaTheme="minorHAnsi"/>
          <w:lang w:eastAsia="en-US"/>
        </w:rPr>
        <w:t>Nous recommandons le respect des règles de publicité des avis d’appel d’offres.</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5.2.3.4 Analyse  comparative de l’utilisation de méthode</w:t>
      </w:r>
      <w:r w:rsidR="00787BBA">
        <w:rPr>
          <w:rFonts w:eastAsiaTheme="minorHAnsi"/>
          <w:b/>
          <w:lang w:eastAsia="en-US"/>
        </w:rPr>
        <w:t>s non ou peu compétitives     (7</w:t>
      </w:r>
      <w:r w:rsidRPr="00F2267D">
        <w:rPr>
          <w:rFonts w:eastAsiaTheme="minorHAnsi"/>
          <w:b/>
          <w:lang w:eastAsia="en-US"/>
        </w:rPr>
        <w:t>/9)</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5.2.3.4.1 Constats</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L’analyse comparative de l’utilisation des méthodes met en évidence un recours élevé à des méthodes de passation par des  méthodes non compétitives.</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 xml:space="preserve">A l’issue de nos contrôles nous avons constaté  un recours élevé à des modes passations des marchés par de méthodes non compétitives. En effet sur les neuf </w:t>
      </w:r>
      <w:r w:rsidR="00787BBA">
        <w:rPr>
          <w:rFonts w:eastAsiaTheme="minorHAnsi"/>
          <w:lang w:eastAsia="en-US"/>
        </w:rPr>
        <w:t>(09) autorités contractantes sept</w:t>
      </w:r>
      <w:r w:rsidRPr="00F2267D">
        <w:rPr>
          <w:rFonts w:eastAsiaTheme="minorHAnsi"/>
          <w:lang w:eastAsia="en-US"/>
        </w:rPr>
        <w:t xml:space="preserve"> (0</w:t>
      </w:r>
      <w:r w:rsidR="00787BBA">
        <w:rPr>
          <w:rFonts w:eastAsiaTheme="minorHAnsi"/>
          <w:lang w:eastAsia="en-US"/>
        </w:rPr>
        <w:t>7</w:t>
      </w:r>
      <w:r w:rsidRPr="00F2267D">
        <w:rPr>
          <w:rFonts w:eastAsiaTheme="minorHAnsi"/>
          <w:lang w:eastAsia="en-US"/>
        </w:rPr>
        <w:t>) ont fait recours à des méthodes peu ou non compétitives :</w:t>
      </w:r>
    </w:p>
    <w:p w:rsidR="00F2267D" w:rsidRPr="00F2267D" w:rsidRDefault="00F2267D" w:rsidP="00F2267D">
      <w:pPr>
        <w:numPr>
          <w:ilvl w:val="0"/>
          <w:numId w:val="48"/>
        </w:numPr>
        <w:spacing w:after="160" w:line="276" w:lineRule="auto"/>
        <w:ind w:right="284"/>
        <w:contextualSpacing/>
        <w:jc w:val="both"/>
        <w:rPr>
          <w:rFonts w:eastAsiaTheme="minorHAnsi"/>
          <w:lang w:eastAsia="en-US"/>
        </w:rPr>
      </w:pPr>
      <w:r w:rsidRPr="00F2267D">
        <w:rPr>
          <w:rFonts w:eastAsiaTheme="minorHAnsi"/>
          <w:lang w:eastAsia="en-US"/>
        </w:rPr>
        <w:t>Cellule de Coordination Humanitaire;</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Centrale d’Approvisionnement en Intrants et Matériels Agricoles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Ville de Niamey;</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Cellule de Crise Alimentaire;</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Office Nationale d’Edition et de Presse ;</w:t>
      </w:r>
    </w:p>
    <w:p w:rsid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Haut-Commissariat à l’Aménagement de la Vallée du Niger ;</w:t>
      </w:r>
    </w:p>
    <w:p w:rsidR="00787BBA" w:rsidRPr="00243A1A" w:rsidRDefault="00787BBA" w:rsidP="00243A1A">
      <w:pPr>
        <w:numPr>
          <w:ilvl w:val="0"/>
          <w:numId w:val="48"/>
        </w:numPr>
        <w:spacing w:after="160" w:line="276" w:lineRule="auto"/>
        <w:contextualSpacing/>
        <w:jc w:val="both"/>
        <w:rPr>
          <w:rFonts w:eastAsiaTheme="minorHAnsi"/>
          <w:lang w:eastAsia="en-US"/>
        </w:rPr>
      </w:pPr>
      <w:r w:rsidRPr="00F2267D">
        <w:rPr>
          <w:rFonts w:eastAsiaTheme="minorHAnsi"/>
          <w:lang w:eastAsia="en-US"/>
        </w:rPr>
        <w:t>Société Nigérienne des Produits Pétroliers ;</w:t>
      </w:r>
    </w:p>
    <w:p w:rsidR="001D781A" w:rsidRDefault="001D781A" w:rsidP="001D781A">
      <w:pPr>
        <w:spacing w:after="160" w:line="276" w:lineRule="auto"/>
        <w:ind w:left="720"/>
        <w:contextualSpacing/>
        <w:jc w:val="both"/>
        <w:rPr>
          <w:rFonts w:eastAsiaTheme="minorHAnsi"/>
          <w:lang w:eastAsia="en-US"/>
        </w:rPr>
      </w:pPr>
    </w:p>
    <w:p w:rsidR="00D4190A" w:rsidRPr="00F2267D" w:rsidRDefault="00D4190A" w:rsidP="001D781A">
      <w:pPr>
        <w:spacing w:after="160" w:line="276" w:lineRule="auto"/>
        <w:ind w:left="720"/>
        <w:contextualSpacing/>
        <w:jc w:val="both"/>
        <w:rPr>
          <w:rFonts w:eastAsiaTheme="minorHAnsi"/>
          <w:lang w:eastAsia="en-US"/>
        </w:rPr>
      </w:pP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lastRenderedPageBreak/>
        <w:t>5.2.3.4.2 Recommandation</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 xml:space="preserve">Réduire le recours à des modes de passation des marchés par des méthodes peu ou </w:t>
      </w:r>
      <w:r w:rsidR="00243A1A">
        <w:rPr>
          <w:rFonts w:eastAsiaTheme="minorHAnsi"/>
          <w:lang w:eastAsia="en-US"/>
        </w:rPr>
        <w:t>non compétitives.</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5.2.3.5 Non-respect des règles en matière d’ouverture des offres                                 (1/9)</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5.2.3.5.1 Constat</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Nos contrôles sur le respect des règles en matière d’ouverture des offres faits conformément</w:t>
      </w:r>
      <w:r w:rsidR="00FC57FA">
        <w:rPr>
          <w:rFonts w:eastAsiaTheme="minorHAnsi"/>
          <w:lang w:eastAsia="en-US"/>
        </w:rPr>
        <w:t xml:space="preserve"> </w:t>
      </w:r>
      <w:r w:rsidRPr="00F2267D">
        <w:rPr>
          <w:rFonts w:eastAsiaTheme="minorHAnsi"/>
          <w:lang w:eastAsia="en-US"/>
        </w:rPr>
        <w:t>à l’arrêté n°0145/CAB/PM/ARMP du 29 Juin 2012 portant Création, Attributions, Composition-type et fonctionnement de la Commission ad’ hoc d’ouverture des plis et d’évaluation des offres des Marchés Publics et des Délégations de Service Public de l’Etat a révélé que sur les neuf (09) autorités contractantes seule la Direction Régionale de l’Hydraulique et de l’Assainissement de Tillaberi n’a pas respecté les règles en matières d’ouverture des offres.</w:t>
      </w:r>
    </w:p>
    <w:p w:rsidR="00243A1A" w:rsidRDefault="00243A1A" w:rsidP="00F2267D">
      <w:pPr>
        <w:spacing w:after="160" w:line="276" w:lineRule="auto"/>
        <w:jc w:val="both"/>
        <w:rPr>
          <w:rFonts w:eastAsiaTheme="minorHAnsi"/>
          <w:b/>
          <w:lang w:eastAsia="en-US"/>
        </w:rPr>
      </w:pP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5.2.3.5.2 Recommandation</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Nous recommandons le respect des règles en matière d’ouverture des offres</w:t>
      </w:r>
    </w:p>
    <w:p w:rsidR="00243A1A" w:rsidRDefault="00F2267D" w:rsidP="00243A1A">
      <w:pPr>
        <w:jc w:val="both"/>
        <w:rPr>
          <w:rFonts w:eastAsiaTheme="minorHAnsi"/>
          <w:b/>
          <w:lang w:eastAsia="en-US"/>
        </w:rPr>
      </w:pPr>
      <w:r w:rsidRPr="00F2267D">
        <w:rPr>
          <w:rFonts w:eastAsiaTheme="minorHAnsi"/>
          <w:b/>
          <w:lang w:eastAsia="en-US"/>
        </w:rPr>
        <w:t xml:space="preserve">5.2.3.6 Respect des règles d’établissement des procès-verbaux </w:t>
      </w:r>
    </w:p>
    <w:p w:rsidR="00F2267D" w:rsidRPr="00F2267D" w:rsidRDefault="00243A1A" w:rsidP="00243A1A">
      <w:pPr>
        <w:jc w:val="both"/>
        <w:rPr>
          <w:rFonts w:eastAsiaTheme="minorHAnsi"/>
          <w:b/>
          <w:lang w:eastAsia="en-US"/>
        </w:rPr>
      </w:pPr>
      <w:r>
        <w:rPr>
          <w:rFonts w:eastAsiaTheme="minorHAnsi"/>
          <w:b/>
          <w:lang w:eastAsia="en-US"/>
        </w:rPr>
        <w:t xml:space="preserve">            </w:t>
      </w:r>
      <w:r w:rsidR="00F2267D" w:rsidRPr="00F2267D">
        <w:rPr>
          <w:rFonts w:eastAsiaTheme="minorHAnsi"/>
          <w:b/>
          <w:lang w:eastAsia="en-US"/>
        </w:rPr>
        <w:t xml:space="preserve">d’attribution des marchés </w:t>
      </w:r>
      <w:r>
        <w:rPr>
          <w:rFonts w:eastAsiaTheme="minorHAnsi"/>
          <w:b/>
          <w:lang w:eastAsia="en-US"/>
        </w:rPr>
        <w:t xml:space="preserve">                                                                                      </w:t>
      </w:r>
      <w:r w:rsidR="00F2267D" w:rsidRPr="00F2267D">
        <w:rPr>
          <w:rFonts w:eastAsiaTheme="minorHAnsi"/>
          <w:b/>
          <w:lang w:eastAsia="en-US"/>
        </w:rPr>
        <w:t>(1/9)</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5.2.3.6.1 Constat</w:t>
      </w:r>
    </w:p>
    <w:p w:rsidR="001D781A" w:rsidRPr="00F2267D" w:rsidRDefault="00F2267D" w:rsidP="00F2267D">
      <w:pPr>
        <w:spacing w:after="160" w:line="276" w:lineRule="auto"/>
        <w:jc w:val="both"/>
        <w:rPr>
          <w:rFonts w:eastAsiaTheme="minorHAnsi"/>
          <w:lang w:eastAsia="en-US"/>
        </w:rPr>
      </w:pPr>
      <w:r w:rsidRPr="00F2267D">
        <w:rPr>
          <w:rFonts w:eastAsiaTheme="minorHAnsi"/>
          <w:lang w:eastAsia="en-US"/>
        </w:rPr>
        <w:t>Nos contrôles sur le respect des règles en matière d’établissement des procès-verbaux d’attribution des marché</w:t>
      </w:r>
      <w:r w:rsidRPr="00F2267D">
        <w:rPr>
          <w:rFonts w:eastAsiaTheme="minorHAnsi"/>
          <w:b/>
          <w:lang w:eastAsia="en-US"/>
        </w:rPr>
        <w:t>s</w:t>
      </w:r>
      <w:r w:rsidRPr="00F2267D">
        <w:rPr>
          <w:rFonts w:eastAsiaTheme="minorHAnsi"/>
          <w:lang w:eastAsia="en-US"/>
        </w:rPr>
        <w:t xml:space="preserve"> faits conformément</w:t>
      </w:r>
      <w:r w:rsidR="00243A1A">
        <w:rPr>
          <w:rFonts w:eastAsiaTheme="minorHAnsi"/>
          <w:lang w:eastAsia="en-US"/>
        </w:rPr>
        <w:t xml:space="preserve"> </w:t>
      </w:r>
      <w:r w:rsidRPr="00F2267D">
        <w:rPr>
          <w:rFonts w:eastAsiaTheme="minorHAnsi"/>
          <w:lang w:eastAsia="en-US"/>
        </w:rPr>
        <w:t>à l</w:t>
      </w:r>
      <w:r w:rsidRPr="00F2267D">
        <w:rPr>
          <w:rFonts w:eastAsiaTheme="minorHAnsi"/>
          <w:b/>
          <w:lang w:eastAsia="en-US"/>
        </w:rPr>
        <w:t>’</w:t>
      </w:r>
      <w:r w:rsidRPr="00F2267D">
        <w:rPr>
          <w:rFonts w:eastAsiaTheme="minorHAnsi"/>
          <w:lang w:eastAsia="en-US"/>
        </w:rPr>
        <w:t>arrêté n°0145/CAB/PM/ARMP du 29 Juin 2012 portant Création, Attributions, Composition-type et fonctionnement de la Commission ad' hoc d'ouverture des plis et d'évaluation des offres des Marchés Publics et des Délégations de Service Public de l'Etat a révélé que sur les neuf (09) autorités contractantes seule la Société Nigérienne des Produits Pétroliers n’a pas respecté les règles d’établissement des procès-verbaux d’attribution des marchés.</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5.2.3.6.2 Recommandation</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Nous recommandons le respect des délais d’établissement des procès-verbaux d’attribution des marchés.</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5.2.3.7 Non-respect des règles d’approbation du marché                                             (1/9)</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5.2.3.7.1 Constat</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 xml:space="preserve">Conformément à l’article 15 de l’arrêté 34/CAB/PM/ARMP du 21 janvier 2014 fixant les délais dans le cadre des marchés publics et des délégations de service public, </w:t>
      </w:r>
      <w:r w:rsidRPr="00F2267D">
        <w:rPr>
          <w:rFonts w:eastAsiaTheme="minorHAnsi"/>
          <w:i/>
          <w:lang w:eastAsia="en-US"/>
        </w:rPr>
        <w:t>l’approbation du marché doit intervenir dans un délai de sept (7) jours ouvrables à compter de la date de réception du dossier par l’autorité approbatrice et dans tous les cas dans le délai de validité de l’offre de l’attributaire</w:t>
      </w:r>
      <w:r w:rsidRPr="00F2267D">
        <w:rPr>
          <w:rFonts w:eastAsiaTheme="minorHAnsi"/>
          <w:lang w:eastAsia="en-US"/>
        </w:rPr>
        <w:t>.</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lastRenderedPageBreak/>
        <w:t>La revue des délais d’approbation des marchés a révélé  que sur les neuf (09) autorités contractantes</w:t>
      </w:r>
      <w:r w:rsidR="00243A1A">
        <w:rPr>
          <w:rFonts w:eastAsiaTheme="minorHAnsi"/>
          <w:lang w:eastAsia="en-US"/>
        </w:rPr>
        <w:t>,</w:t>
      </w:r>
      <w:r w:rsidRPr="00F2267D">
        <w:rPr>
          <w:rFonts w:eastAsiaTheme="minorHAnsi"/>
          <w:lang w:eastAsia="en-US"/>
        </w:rPr>
        <w:t xml:space="preserve"> seule la Société Nigérienne des produits Pétroliers n’a pas respecté le délai d’approbation du marché conformément à l’article 15 de l’arrêté 34/CAB/PM/ARMP du 21 janvier 2014.</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 xml:space="preserve">5.2.3.7.2 Recommandation </w:t>
      </w:r>
    </w:p>
    <w:p w:rsidR="00F2267D" w:rsidRPr="00F2267D" w:rsidRDefault="00F2267D" w:rsidP="00F2267D">
      <w:pPr>
        <w:spacing w:after="160" w:line="276" w:lineRule="auto"/>
        <w:ind w:right="284"/>
        <w:jc w:val="both"/>
        <w:rPr>
          <w:rFonts w:eastAsiaTheme="minorHAnsi"/>
          <w:lang w:eastAsia="en-US"/>
        </w:rPr>
      </w:pPr>
      <w:r w:rsidRPr="00F2267D">
        <w:rPr>
          <w:rFonts w:eastAsiaTheme="minorHAnsi"/>
          <w:lang w:eastAsia="en-US"/>
        </w:rPr>
        <w:t>Nous recommandons que les marchés soient approuvés par les personnes habilitées conformément aux dispositions de l’article 11 de l’arrêté n°36/CAB/PM/ARMP du 21 janvier 2014 portant modalités de signature et d’approbation des marchés publics et des délégations de service public</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5.2.3.8 Non-respect de la preuve de publicité des procè</w:t>
      </w:r>
      <w:r w:rsidR="00873EC3">
        <w:rPr>
          <w:rFonts w:eastAsiaTheme="minorHAnsi"/>
          <w:b/>
          <w:lang w:eastAsia="en-US"/>
        </w:rPr>
        <w:t>s-verbaux d’attribution       (8</w:t>
      </w:r>
      <w:r w:rsidRPr="00F2267D">
        <w:rPr>
          <w:rFonts w:eastAsiaTheme="minorHAnsi"/>
          <w:b/>
          <w:lang w:eastAsia="en-US"/>
        </w:rPr>
        <w:t>/9)</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5.2.3.8.1 Constat</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La vérification de la publication des procès-verbaux d’attribution a révélé l’absence de publication des procès-verbaux d’attribution de six (06) autorités contractantes sur neuf (09). Ce qui n’est pas conforme à l’article 95 de l’arrêté 2015-569/PRN/PM du 20 décembre 2013 portant code des marchés publics et des délégations de service public. Les six (06) autorités contractantes sont les suivantes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Centrale d’Approvisionnement en Intrants et Matériels Agricoles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Ministère de l’Equipement/CAFER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Société Nigérienne des Produits Pétroliers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Haut-Commissariat à l’Aménagement de la Vallée du Niger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Cellule de Coordination Alimentaire ;</w:t>
      </w:r>
    </w:p>
    <w:p w:rsid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Cellule de Coordination Humanitaire ;</w:t>
      </w:r>
    </w:p>
    <w:p w:rsidR="002265F0" w:rsidRPr="00F2267D" w:rsidRDefault="002265F0" w:rsidP="002265F0">
      <w:pPr>
        <w:numPr>
          <w:ilvl w:val="0"/>
          <w:numId w:val="48"/>
        </w:numPr>
        <w:spacing w:after="160" w:line="276" w:lineRule="auto"/>
        <w:contextualSpacing/>
        <w:jc w:val="both"/>
        <w:rPr>
          <w:rFonts w:eastAsiaTheme="minorHAnsi"/>
          <w:lang w:eastAsia="en-US"/>
        </w:rPr>
      </w:pPr>
      <w:r w:rsidRPr="00F2267D">
        <w:rPr>
          <w:rFonts w:eastAsiaTheme="minorHAnsi"/>
          <w:lang w:eastAsia="en-US"/>
        </w:rPr>
        <w:t>Office Nationale d’Edition et de Presse ;</w:t>
      </w:r>
    </w:p>
    <w:p w:rsidR="00873EC3" w:rsidRPr="00F2267D" w:rsidRDefault="00873EC3" w:rsidP="00873EC3">
      <w:pPr>
        <w:numPr>
          <w:ilvl w:val="0"/>
          <w:numId w:val="48"/>
        </w:numPr>
        <w:spacing w:after="160" w:line="276" w:lineRule="auto"/>
        <w:ind w:right="284"/>
        <w:contextualSpacing/>
        <w:jc w:val="both"/>
        <w:rPr>
          <w:rFonts w:eastAsiaTheme="minorHAnsi"/>
          <w:lang w:eastAsia="en-US"/>
        </w:rPr>
      </w:pPr>
      <w:r w:rsidRPr="00F2267D">
        <w:rPr>
          <w:rFonts w:eastAsiaTheme="minorHAnsi"/>
          <w:lang w:eastAsia="en-US"/>
        </w:rPr>
        <w:t>Direction Régionale de l’Hydraulique et de l’Assainissement de Tillaberi ;</w:t>
      </w:r>
    </w:p>
    <w:p w:rsidR="002265F0" w:rsidRPr="00F2267D" w:rsidRDefault="002265F0" w:rsidP="00873EC3">
      <w:pPr>
        <w:spacing w:after="160" w:line="276" w:lineRule="auto"/>
        <w:ind w:left="720"/>
        <w:contextualSpacing/>
        <w:jc w:val="both"/>
        <w:rPr>
          <w:rFonts w:eastAsiaTheme="minorHAnsi"/>
          <w:lang w:eastAsia="en-US"/>
        </w:rPr>
      </w:pP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5.2.3.8.2 Recommandation</w:t>
      </w:r>
    </w:p>
    <w:p w:rsidR="00F2267D" w:rsidRPr="00F2267D" w:rsidRDefault="00F2267D" w:rsidP="00F2267D">
      <w:pPr>
        <w:spacing w:after="160" w:line="276" w:lineRule="auto"/>
        <w:jc w:val="both"/>
        <w:rPr>
          <w:rFonts w:eastAsiaTheme="minorHAnsi"/>
          <w:b/>
          <w:lang w:eastAsia="en-US"/>
        </w:rPr>
      </w:pPr>
      <w:r w:rsidRPr="00F2267D">
        <w:rPr>
          <w:rFonts w:eastAsiaTheme="minorHAnsi"/>
          <w:color w:val="000000" w:themeColor="text1"/>
          <w:lang w:eastAsia="en-US"/>
        </w:rPr>
        <w:t>Nous recommandons la publication des procès-verbaux d’attribution conformément à l’article 95 de l’arrêté 2015-569/PRN/PM du 20 décembre 2013 portant code des marchés publics et des délégations de service public</w:t>
      </w:r>
    </w:p>
    <w:p w:rsidR="00F2267D" w:rsidRPr="00C579CA" w:rsidRDefault="00F2267D" w:rsidP="00F2267D">
      <w:pPr>
        <w:spacing w:after="160" w:line="276" w:lineRule="auto"/>
        <w:jc w:val="both"/>
        <w:rPr>
          <w:rFonts w:eastAsiaTheme="minorHAnsi"/>
          <w:b/>
          <w:sz w:val="16"/>
          <w:szCs w:val="16"/>
          <w:lang w:eastAsia="en-US"/>
        </w:rPr>
      </w:pP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5.2.3.9 Non-respect de la notification des Ordres de service                                         (4/9)</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5.2.3.9.1 Constat</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Les ordres de service ne sont pas toujours joints aux dossiers de passation, en effet sur notre échantillon de neuf (09) autorités contractantes quatre (04) n’ont pas respecté la notification d’ordre de service. Cette insuffisance concerne les autorités contractantes suivantes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Ministère de l’Equipement/CAFER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lastRenderedPageBreak/>
        <w:t>Société Nigérienne des Produits Pétroliers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Haut-Commissariat à l’Aménagement de la Vallée du Niger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Office National d’Edition et de Presse ;</w:t>
      </w:r>
    </w:p>
    <w:p w:rsidR="00243A1A" w:rsidRDefault="00243A1A" w:rsidP="00F2267D">
      <w:pPr>
        <w:spacing w:after="160" w:line="276" w:lineRule="auto"/>
        <w:jc w:val="both"/>
        <w:rPr>
          <w:rFonts w:eastAsiaTheme="minorHAnsi"/>
          <w:b/>
          <w:lang w:eastAsia="en-US"/>
        </w:rPr>
      </w:pP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 xml:space="preserve">5.2.3.9.2 Recommandation </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Nous recommandons l’élaboration et l’archivage des ordres de service  au dossier de passation des marchés</w:t>
      </w:r>
    </w:p>
    <w:p w:rsidR="00F2267D" w:rsidRPr="00F2267D" w:rsidRDefault="00F2267D" w:rsidP="00F2267D">
      <w:pPr>
        <w:spacing w:after="160" w:line="276" w:lineRule="auto"/>
        <w:jc w:val="both"/>
        <w:rPr>
          <w:rFonts w:eastAsiaTheme="minorHAnsi"/>
          <w:b/>
          <w:lang w:eastAsia="en-US"/>
        </w:rPr>
      </w:pPr>
    </w:p>
    <w:p w:rsidR="00F2267D" w:rsidRPr="00F2267D" w:rsidRDefault="00F2267D" w:rsidP="005C5CB1">
      <w:pPr>
        <w:spacing w:after="160" w:line="276" w:lineRule="auto"/>
        <w:rPr>
          <w:rFonts w:eastAsiaTheme="minorHAnsi"/>
          <w:b/>
          <w:lang w:eastAsia="en-US"/>
        </w:rPr>
      </w:pPr>
      <w:r w:rsidRPr="00F2267D">
        <w:rPr>
          <w:rFonts w:eastAsiaTheme="minorHAnsi"/>
          <w:b/>
          <w:lang w:eastAsia="en-US"/>
        </w:rPr>
        <w:t xml:space="preserve">5.2.3.10 Non-respect </w:t>
      </w:r>
      <w:r w:rsidR="009963CF">
        <w:rPr>
          <w:rFonts w:eastAsiaTheme="minorHAnsi"/>
          <w:b/>
          <w:lang w:eastAsia="en-US"/>
        </w:rPr>
        <w:t xml:space="preserve">d’établissement </w:t>
      </w:r>
      <w:r w:rsidRPr="00F2267D">
        <w:rPr>
          <w:rFonts w:eastAsiaTheme="minorHAnsi"/>
          <w:b/>
          <w:lang w:eastAsia="en-US"/>
        </w:rPr>
        <w:t xml:space="preserve">des procès-verbaux de réception  </w:t>
      </w:r>
      <w:r w:rsidR="005C5CB1">
        <w:rPr>
          <w:rFonts w:eastAsiaTheme="minorHAnsi"/>
          <w:b/>
          <w:lang w:eastAsia="en-US"/>
        </w:rPr>
        <w:t xml:space="preserve">                    </w:t>
      </w:r>
      <w:r w:rsidRPr="00F2267D">
        <w:rPr>
          <w:rFonts w:eastAsiaTheme="minorHAnsi"/>
          <w:b/>
          <w:lang w:eastAsia="en-US"/>
        </w:rPr>
        <w:t>(</w:t>
      </w:r>
      <w:r w:rsidR="005C5CB1">
        <w:rPr>
          <w:rFonts w:eastAsiaTheme="minorHAnsi"/>
          <w:b/>
          <w:lang w:eastAsia="en-US"/>
        </w:rPr>
        <w:t>6</w:t>
      </w:r>
      <w:r w:rsidRPr="00F2267D">
        <w:rPr>
          <w:rFonts w:eastAsiaTheme="minorHAnsi"/>
          <w:b/>
          <w:lang w:eastAsia="en-US"/>
        </w:rPr>
        <w:t>/9)</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5.2.3.10.1 Constat</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La vérification des procès–verbaux de réception a révélé que les procès-verbaux de réception ne sont pas toujours joints au dossier de marchés. En effet sur les neuf (09) autorités contractantes, sept (07) n’ont pas joint les procès-verbaux de réception au dossier de passation des marchés. Les  autorités concernées sont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Centrale d’Approvisionnement en Intrants et Matériels Agricoles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Ministère de l’Equipement/CAFER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Société Nigérienne des Produits Pétroliers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Haut-Commissariat à l’Aménagement de la Vallée du Niger ;</w:t>
      </w:r>
    </w:p>
    <w:p w:rsidR="00F2267D" w:rsidRPr="00F2267D" w:rsidRDefault="00F2267D" w:rsidP="00F2267D">
      <w:pPr>
        <w:numPr>
          <w:ilvl w:val="0"/>
          <w:numId w:val="48"/>
        </w:numPr>
        <w:spacing w:after="160" w:line="276" w:lineRule="auto"/>
        <w:ind w:right="284"/>
        <w:contextualSpacing/>
        <w:jc w:val="both"/>
        <w:rPr>
          <w:rFonts w:eastAsiaTheme="minorHAnsi"/>
          <w:lang w:eastAsia="en-US"/>
        </w:rPr>
      </w:pPr>
      <w:r w:rsidRPr="00F2267D">
        <w:rPr>
          <w:rFonts w:eastAsiaTheme="minorHAnsi"/>
          <w:lang w:eastAsia="en-US"/>
        </w:rPr>
        <w:t>Direction Régionale de l’Hydraulique et de l’Assainissement de Tillaberi ;</w:t>
      </w:r>
    </w:p>
    <w:p w:rsidR="00F2267D" w:rsidRPr="00F2267D" w:rsidRDefault="00F2267D" w:rsidP="00F2267D">
      <w:pPr>
        <w:numPr>
          <w:ilvl w:val="0"/>
          <w:numId w:val="48"/>
        </w:numPr>
        <w:spacing w:after="160" w:line="259" w:lineRule="auto"/>
        <w:contextualSpacing/>
        <w:rPr>
          <w:rFonts w:asciiTheme="minorHAnsi" w:eastAsiaTheme="minorHAnsi" w:hAnsiTheme="minorHAnsi" w:cstheme="minorBidi"/>
          <w:sz w:val="22"/>
          <w:szCs w:val="22"/>
          <w:lang w:eastAsia="en-US"/>
        </w:rPr>
      </w:pPr>
      <w:r w:rsidRPr="00F2267D">
        <w:rPr>
          <w:rFonts w:eastAsiaTheme="minorHAnsi"/>
          <w:lang w:eastAsia="en-US"/>
        </w:rPr>
        <w:t>Ville de Niamey ;</w:t>
      </w:r>
    </w:p>
    <w:p w:rsidR="00CC01A6" w:rsidRDefault="00CC01A6" w:rsidP="00F2267D">
      <w:pPr>
        <w:spacing w:after="160" w:line="276" w:lineRule="auto"/>
        <w:jc w:val="both"/>
        <w:rPr>
          <w:rFonts w:eastAsiaTheme="minorHAnsi"/>
          <w:b/>
          <w:lang w:eastAsia="en-US"/>
        </w:rPr>
      </w:pP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5.2.3.10.2 Recommandation</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Nous recommandons de joindre les procès-verbaux de réceptions au dossier de passation des marchés.</w:t>
      </w:r>
    </w:p>
    <w:p w:rsidR="00FC57FA" w:rsidRPr="00F2267D" w:rsidRDefault="00FC57FA" w:rsidP="00FC57FA">
      <w:pPr>
        <w:spacing w:after="160" w:line="276" w:lineRule="auto"/>
        <w:jc w:val="both"/>
        <w:rPr>
          <w:rFonts w:eastAsiaTheme="minorHAnsi"/>
          <w:b/>
          <w:lang w:eastAsia="en-US"/>
        </w:rPr>
      </w:pPr>
      <w:r>
        <w:rPr>
          <w:rFonts w:eastAsiaTheme="minorHAnsi"/>
          <w:b/>
          <w:lang w:eastAsia="en-US"/>
        </w:rPr>
        <w:t xml:space="preserve">5.2.3.11 Absence de visa du contrôleur financier                                  </w:t>
      </w:r>
      <w:r w:rsidR="00243A1A">
        <w:rPr>
          <w:rFonts w:eastAsiaTheme="minorHAnsi"/>
          <w:b/>
          <w:lang w:eastAsia="en-US"/>
        </w:rPr>
        <w:t xml:space="preserve">                           </w:t>
      </w:r>
      <w:r>
        <w:rPr>
          <w:rFonts w:eastAsiaTheme="minorHAnsi"/>
          <w:b/>
          <w:lang w:eastAsia="en-US"/>
        </w:rPr>
        <w:t>(1/9)</w:t>
      </w:r>
    </w:p>
    <w:p w:rsidR="00FC57FA" w:rsidRPr="00FC57FA" w:rsidRDefault="00FC57FA" w:rsidP="00FC57FA">
      <w:pPr>
        <w:spacing w:after="160" w:line="276" w:lineRule="auto"/>
        <w:contextualSpacing/>
        <w:jc w:val="both"/>
        <w:rPr>
          <w:rFonts w:eastAsiaTheme="minorHAnsi"/>
          <w:b/>
          <w:lang w:eastAsia="en-US"/>
        </w:rPr>
      </w:pPr>
      <w:r w:rsidRPr="00FC57FA">
        <w:rPr>
          <w:rFonts w:eastAsiaTheme="minorHAnsi"/>
          <w:b/>
          <w:lang w:eastAsia="en-US"/>
        </w:rPr>
        <w:t>5.2.3.11.1 Constat</w:t>
      </w:r>
    </w:p>
    <w:p w:rsidR="00FC57FA" w:rsidRPr="00F2267D" w:rsidRDefault="00FC57FA" w:rsidP="00FC57FA">
      <w:pPr>
        <w:spacing w:after="160" w:line="276" w:lineRule="auto"/>
        <w:contextualSpacing/>
        <w:jc w:val="both"/>
        <w:rPr>
          <w:rFonts w:eastAsiaTheme="minorHAnsi"/>
          <w:lang w:eastAsia="en-US"/>
        </w:rPr>
      </w:pPr>
      <w:r w:rsidRPr="00686F5B">
        <w:rPr>
          <w:rFonts w:eastAsiaTheme="minorHAnsi"/>
          <w:lang w:eastAsia="en-US"/>
        </w:rPr>
        <w:t xml:space="preserve">Cette insuffisance concerne </w:t>
      </w:r>
      <w:r w:rsidRPr="00F2267D">
        <w:rPr>
          <w:rFonts w:eastAsiaTheme="minorHAnsi"/>
          <w:lang w:eastAsia="en-US"/>
        </w:rPr>
        <w:t>Société Nigérienne des Produits Pétroliers </w:t>
      </w:r>
      <w:r>
        <w:rPr>
          <w:rFonts w:eastAsiaTheme="minorHAnsi"/>
          <w:lang w:eastAsia="en-US"/>
        </w:rPr>
        <w:t>(SONIDEP).</w:t>
      </w:r>
    </w:p>
    <w:p w:rsidR="00FC57FA" w:rsidRDefault="00FC57FA" w:rsidP="00FC57FA">
      <w:pPr>
        <w:spacing w:after="160" w:line="276" w:lineRule="auto"/>
        <w:jc w:val="both"/>
        <w:rPr>
          <w:rFonts w:eastAsiaTheme="minorHAnsi"/>
          <w:b/>
          <w:lang w:eastAsia="en-US"/>
        </w:rPr>
      </w:pPr>
    </w:p>
    <w:p w:rsidR="00FC57FA" w:rsidRDefault="00FC57FA" w:rsidP="00FC57FA">
      <w:pPr>
        <w:spacing w:after="160" w:line="276" w:lineRule="auto"/>
        <w:jc w:val="both"/>
        <w:rPr>
          <w:rFonts w:eastAsiaTheme="minorHAnsi"/>
          <w:lang w:eastAsia="en-US"/>
        </w:rPr>
      </w:pPr>
      <w:r>
        <w:rPr>
          <w:rFonts w:eastAsiaTheme="minorHAnsi"/>
          <w:b/>
          <w:lang w:eastAsia="en-US"/>
        </w:rPr>
        <w:t xml:space="preserve">5.2.3.11.2 </w:t>
      </w:r>
      <w:r w:rsidRPr="00F2267D">
        <w:rPr>
          <w:rFonts w:eastAsiaTheme="minorHAnsi"/>
          <w:b/>
          <w:lang w:eastAsia="en-US"/>
        </w:rPr>
        <w:t>Recommandation</w:t>
      </w:r>
    </w:p>
    <w:p w:rsidR="00686F5B" w:rsidRPr="00FC57FA" w:rsidRDefault="00FC57FA" w:rsidP="00F2267D">
      <w:pPr>
        <w:spacing w:after="160" w:line="276" w:lineRule="auto"/>
        <w:jc w:val="both"/>
        <w:rPr>
          <w:rFonts w:eastAsiaTheme="minorHAnsi"/>
          <w:lang w:eastAsia="en-US"/>
        </w:rPr>
      </w:pPr>
      <w:r w:rsidRPr="00FC57FA">
        <w:rPr>
          <w:rFonts w:eastAsiaTheme="minorHAnsi"/>
          <w:lang w:eastAsia="en-US"/>
        </w:rPr>
        <w:t>Nous recommandons le visa du contrôleur financier sur les marchés.</w:t>
      </w:r>
    </w:p>
    <w:p w:rsidR="00D4190A" w:rsidRDefault="00D4190A" w:rsidP="00F2267D">
      <w:pPr>
        <w:spacing w:after="160" w:line="276" w:lineRule="auto"/>
        <w:jc w:val="both"/>
        <w:rPr>
          <w:rFonts w:eastAsiaTheme="minorHAnsi"/>
          <w:b/>
          <w:lang w:eastAsia="en-US"/>
        </w:rPr>
      </w:pPr>
    </w:p>
    <w:p w:rsidR="00D4190A" w:rsidRDefault="00D4190A" w:rsidP="00F2267D">
      <w:pPr>
        <w:spacing w:after="160" w:line="276" w:lineRule="auto"/>
        <w:jc w:val="both"/>
        <w:rPr>
          <w:rFonts w:eastAsiaTheme="minorHAnsi"/>
          <w:b/>
          <w:lang w:eastAsia="en-US"/>
        </w:rPr>
      </w:pPr>
    </w:p>
    <w:p w:rsidR="00D4190A" w:rsidRDefault="00D4190A" w:rsidP="00F2267D">
      <w:pPr>
        <w:spacing w:after="160" w:line="276" w:lineRule="auto"/>
        <w:jc w:val="both"/>
        <w:rPr>
          <w:rFonts w:eastAsiaTheme="minorHAnsi"/>
          <w:b/>
          <w:lang w:eastAsia="en-US"/>
        </w:rPr>
      </w:pPr>
    </w:p>
    <w:p w:rsidR="00F2267D" w:rsidRPr="00F2267D" w:rsidRDefault="00FC57FA" w:rsidP="00F2267D">
      <w:pPr>
        <w:spacing w:after="160" w:line="276" w:lineRule="auto"/>
        <w:jc w:val="both"/>
        <w:rPr>
          <w:rFonts w:eastAsiaTheme="minorHAnsi"/>
          <w:b/>
          <w:lang w:eastAsia="en-US"/>
        </w:rPr>
      </w:pPr>
      <w:r>
        <w:rPr>
          <w:rFonts w:eastAsiaTheme="minorHAnsi"/>
          <w:b/>
          <w:lang w:eastAsia="en-US"/>
        </w:rPr>
        <w:lastRenderedPageBreak/>
        <w:t>5.2.3.12</w:t>
      </w:r>
      <w:r w:rsidR="00686F5B">
        <w:rPr>
          <w:rFonts w:eastAsiaTheme="minorHAnsi"/>
          <w:b/>
          <w:lang w:eastAsia="en-US"/>
        </w:rPr>
        <w:t xml:space="preserve"> Absence de date de visa du contrôleur financier</w:t>
      </w:r>
      <w:r w:rsidR="00A65586">
        <w:rPr>
          <w:rFonts w:eastAsiaTheme="minorHAnsi"/>
          <w:b/>
          <w:lang w:eastAsia="en-US"/>
        </w:rPr>
        <w:t xml:space="preserve">                                  </w:t>
      </w:r>
      <w:r w:rsidR="00243A1A">
        <w:rPr>
          <w:rFonts w:eastAsiaTheme="minorHAnsi"/>
          <w:b/>
          <w:lang w:eastAsia="en-US"/>
        </w:rPr>
        <w:t xml:space="preserve">              </w:t>
      </w:r>
      <w:r w:rsidR="00A65586">
        <w:rPr>
          <w:rFonts w:eastAsiaTheme="minorHAnsi"/>
          <w:b/>
          <w:lang w:eastAsia="en-US"/>
        </w:rPr>
        <w:t>(</w:t>
      </w:r>
      <w:r w:rsidR="00F965C2">
        <w:rPr>
          <w:rFonts w:eastAsiaTheme="minorHAnsi"/>
          <w:b/>
          <w:lang w:eastAsia="en-US"/>
        </w:rPr>
        <w:t>2</w:t>
      </w:r>
      <w:r w:rsidR="00A65586">
        <w:rPr>
          <w:rFonts w:eastAsiaTheme="minorHAnsi"/>
          <w:b/>
          <w:lang w:eastAsia="en-US"/>
        </w:rPr>
        <w:t>/9)</w:t>
      </w:r>
    </w:p>
    <w:p w:rsidR="00FC57FA" w:rsidRPr="00FC57FA" w:rsidRDefault="00FC57FA" w:rsidP="00F2267D">
      <w:pPr>
        <w:spacing w:after="160" w:line="276" w:lineRule="auto"/>
        <w:jc w:val="both"/>
        <w:rPr>
          <w:rFonts w:eastAsiaTheme="minorHAnsi"/>
          <w:b/>
          <w:lang w:eastAsia="en-US"/>
        </w:rPr>
      </w:pPr>
      <w:r w:rsidRPr="00FC57FA">
        <w:rPr>
          <w:rFonts w:eastAsiaTheme="minorHAnsi"/>
          <w:b/>
          <w:lang w:eastAsia="en-US"/>
        </w:rPr>
        <w:t>5.2.3.12.1 Constat</w:t>
      </w:r>
    </w:p>
    <w:p w:rsidR="00A65586" w:rsidRDefault="00686F5B" w:rsidP="00F2267D">
      <w:pPr>
        <w:spacing w:after="160" w:line="276" w:lineRule="auto"/>
        <w:jc w:val="both"/>
        <w:rPr>
          <w:rFonts w:eastAsiaTheme="minorHAnsi"/>
          <w:lang w:eastAsia="en-US"/>
        </w:rPr>
      </w:pPr>
      <w:r w:rsidRPr="00686F5B">
        <w:rPr>
          <w:rFonts w:eastAsiaTheme="minorHAnsi"/>
          <w:lang w:eastAsia="en-US"/>
        </w:rPr>
        <w:t xml:space="preserve">Cette insuffisance concerne </w:t>
      </w:r>
      <w:r w:rsidR="00A65586">
        <w:rPr>
          <w:rFonts w:eastAsiaTheme="minorHAnsi"/>
          <w:lang w:eastAsia="en-US"/>
        </w:rPr>
        <w:t>les autorités contractantes suivantes :</w:t>
      </w:r>
    </w:p>
    <w:p w:rsidR="00F2267D" w:rsidRDefault="006A1A81" w:rsidP="00A65586">
      <w:pPr>
        <w:pStyle w:val="Paragraphedeliste"/>
        <w:numPr>
          <w:ilvl w:val="0"/>
          <w:numId w:val="57"/>
        </w:numPr>
        <w:spacing w:after="160" w:line="276" w:lineRule="auto"/>
        <w:jc w:val="both"/>
        <w:rPr>
          <w:rFonts w:eastAsiaTheme="minorHAnsi"/>
          <w:lang w:eastAsia="en-US"/>
        </w:rPr>
      </w:pPr>
      <w:r>
        <w:rPr>
          <w:rFonts w:eastAsiaTheme="minorHAnsi"/>
          <w:lang w:eastAsia="en-US"/>
        </w:rPr>
        <w:t>C</w:t>
      </w:r>
      <w:r w:rsidR="00686F5B" w:rsidRPr="00A65586">
        <w:rPr>
          <w:rFonts w:eastAsiaTheme="minorHAnsi"/>
          <w:lang w:eastAsia="en-US"/>
        </w:rPr>
        <w:t>ellule de crise alimentaire (CCA)</w:t>
      </w:r>
      <w:r w:rsidR="00A65586">
        <w:rPr>
          <w:rFonts w:eastAsiaTheme="minorHAnsi"/>
          <w:lang w:eastAsia="en-US"/>
        </w:rPr>
        <w:t> ;</w:t>
      </w:r>
    </w:p>
    <w:p w:rsidR="006E0A5B" w:rsidRPr="00F2267D" w:rsidRDefault="006E0A5B" w:rsidP="006E0A5B">
      <w:pPr>
        <w:numPr>
          <w:ilvl w:val="0"/>
          <w:numId w:val="57"/>
        </w:numPr>
        <w:spacing w:after="160" w:line="276" w:lineRule="auto"/>
        <w:contextualSpacing/>
        <w:jc w:val="both"/>
        <w:rPr>
          <w:rFonts w:eastAsiaTheme="minorHAnsi"/>
          <w:lang w:eastAsia="en-US"/>
        </w:rPr>
      </w:pPr>
      <w:r w:rsidRPr="00F2267D">
        <w:rPr>
          <w:rFonts w:eastAsiaTheme="minorHAnsi"/>
          <w:lang w:eastAsia="en-US"/>
        </w:rPr>
        <w:t>Cellule de Coordination Humanitaire</w:t>
      </w:r>
      <w:r w:rsidR="006F3E77">
        <w:rPr>
          <w:rFonts w:eastAsiaTheme="minorHAnsi"/>
          <w:lang w:eastAsia="en-US"/>
        </w:rPr>
        <w:t xml:space="preserve"> (CCH)</w:t>
      </w:r>
      <w:r w:rsidRPr="00F2267D">
        <w:rPr>
          <w:rFonts w:eastAsiaTheme="minorHAnsi"/>
          <w:lang w:eastAsia="en-US"/>
        </w:rPr>
        <w:t> ;</w:t>
      </w:r>
    </w:p>
    <w:p w:rsidR="00FC57FA" w:rsidRDefault="00FC57FA" w:rsidP="00FC57FA">
      <w:pPr>
        <w:spacing w:after="160" w:line="276" w:lineRule="auto"/>
        <w:jc w:val="both"/>
        <w:rPr>
          <w:rFonts w:eastAsiaTheme="minorHAnsi"/>
          <w:lang w:eastAsia="en-US"/>
        </w:rPr>
      </w:pPr>
    </w:p>
    <w:p w:rsidR="00A65586" w:rsidRPr="00FC57FA" w:rsidRDefault="00FC57FA" w:rsidP="00FC57FA">
      <w:pPr>
        <w:spacing w:after="160" w:line="276" w:lineRule="auto"/>
        <w:jc w:val="both"/>
        <w:rPr>
          <w:rFonts w:eastAsiaTheme="minorHAnsi"/>
          <w:b/>
          <w:lang w:eastAsia="en-US"/>
        </w:rPr>
      </w:pPr>
      <w:r w:rsidRPr="00FC57FA">
        <w:rPr>
          <w:rFonts w:eastAsiaTheme="minorHAnsi"/>
          <w:b/>
          <w:lang w:eastAsia="en-US"/>
        </w:rPr>
        <w:t>5.2.3.12.2 Recommandation</w:t>
      </w:r>
    </w:p>
    <w:p w:rsidR="00F2267D" w:rsidRPr="00FC57FA" w:rsidRDefault="00FC57FA" w:rsidP="00F2267D">
      <w:pPr>
        <w:spacing w:after="160" w:line="276" w:lineRule="auto"/>
        <w:jc w:val="both"/>
        <w:rPr>
          <w:rFonts w:eastAsiaTheme="minorHAnsi"/>
          <w:lang w:eastAsia="en-US"/>
        </w:rPr>
      </w:pPr>
      <w:r w:rsidRPr="00FC57FA">
        <w:rPr>
          <w:rFonts w:eastAsiaTheme="minorHAnsi"/>
          <w:lang w:eastAsia="en-US"/>
        </w:rPr>
        <w:t>Nous recommandons de porter la date du visa du contrôleur financier sur les marchés.</w:t>
      </w:r>
    </w:p>
    <w:p w:rsidR="00F2267D" w:rsidRPr="00F2267D" w:rsidRDefault="00F2267D" w:rsidP="00F2267D">
      <w:pPr>
        <w:spacing w:after="160" w:line="276" w:lineRule="auto"/>
        <w:jc w:val="both"/>
        <w:rPr>
          <w:rFonts w:eastAsiaTheme="minorHAnsi"/>
          <w:b/>
          <w:lang w:eastAsia="en-US"/>
        </w:rPr>
      </w:pP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w:t>
      </w:r>
      <w:r>
        <w:rPr>
          <w:rFonts w:eastAsiaTheme="minorHAnsi"/>
          <w:b/>
          <w:lang w:eastAsia="en-US"/>
        </w:rPr>
        <w:t>2.</w:t>
      </w:r>
      <w:r w:rsidRPr="00F2267D">
        <w:rPr>
          <w:rFonts w:eastAsiaTheme="minorHAnsi"/>
          <w:b/>
          <w:lang w:eastAsia="en-US"/>
        </w:rPr>
        <w:t>4 VERIFICATION DE LA CONFORMITE DES OPERATIONS FINANCIERES</w:t>
      </w:r>
    </w:p>
    <w:p w:rsidR="00F2267D" w:rsidRPr="00F2267D" w:rsidRDefault="00F2267D" w:rsidP="00F2267D">
      <w:pPr>
        <w:spacing w:after="160" w:line="276" w:lineRule="auto"/>
        <w:jc w:val="both"/>
        <w:rPr>
          <w:rFonts w:eastAsiaTheme="minorHAnsi"/>
          <w:b/>
          <w:lang w:eastAsia="en-US"/>
        </w:rPr>
      </w:pPr>
      <w:r>
        <w:rPr>
          <w:rFonts w:eastAsiaTheme="minorHAnsi"/>
          <w:b/>
          <w:lang w:eastAsia="en-US"/>
        </w:rPr>
        <w:t xml:space="preserve">5.2.4.1 </w:t>
      </w:r>
      <w:r w:rsidRPr="00F2267D">
        <w:rPr>
          <w:rFonts w:eastAsiaTheme="minorHAnsi"/>
          <w:b/>
          <w:lang w:eastAsia="en-US"/>
        </w:rPr>
        <w:t>Indisponibilité des documents relatifs aux paiements au niveau de l’ARMP et de l’Autorité contractantes</w:t>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Pr>
          <w:rFonts w:eastAsiaTheme="minorHAnsi"/>
          <w:b/>
          <w:lang w:eastAsia="en-US"/>
        </w:rPr>
        <w:tab/>
      </w:r>
      <w:r w:rsidR="00DD20B8">
        <w:rPr>
          <w:rFonts w:eastAsiaTheme="minorHAnsi"/>
          <w:b/>
          <w:lang w:eastAsia="en-US"/>
        </w:rPr>
        <w:t xml:space="preserve">   </w:t>
      </w:r>
      <w:r w:rsidR="00243A1A">
        <w:rPr>
          <w:rFonts w:eastAsiaTheme="minorHAnsi"/>
          <w:b/>
          <w:lang w:eastAsia="en-US"/>
        </w:rPr>
        <w:t xml:space="preserve">          </w:t>
      </w:r>
      <w:r w:rsidR="00DD20B8">
        <w:rPr>
          <w:rFonts w:eastAsiaTheme="minorHAnsi"/>
          <w:b/>
          <w:lang w:eastAsia="en-US"/>
        </w:rPr>
        <w:t>(6</w:t>
      </w:r>
      <w:r w:rsidRPr="00F2267D">
        <w:rPr>
          <w:rFonts w:eastAsiaTheme="minorHAnsi"/>
          <w:b/>
          <w:lang w:eastAsia="en-US"/>
        </w:rPr>
        <w:t>/9)</w:t>
      </w:r>
    </w:p>
    <w:p w:rsidR="00F2267D" w:rsidRPr="00F2267D" w:rsidRDefault="00F2267D" w:rsidP="00F2267D">
      <w:pPr>
        <w:spacing w:after="160" w:line="276" w:lineRule="auto"/>
        <w:jc w:val="both"/>
        <w:rPr>
          <w:rFonts w:eastAsiaTheme="minorHAnsi"/>
          <w:b/>
          <w:lang w:eastAsia="en-US"/>
        </w:rPr>
      </w:pPr>
      <w:r w:rsidRPr="00F2267D">
        <w:rPr>
          <w:rFonts w:eastAsiaTheme="minorHAnsi"/>
          <w:b/>
          <w:lang w:eastAsia="en-US"/>
        </w:rPr>
        <w:t>5.2.4.1</w:t>
      </w:r>
      <w:r>
        <w:rPr>
          <w:rFonts w:eastAsiaTheme="minorHAnsi"/>
          <w:b/>
          <w:lang w:eastAsia="en-US"/>
        </w:rPr>
        <w:t>.1</w:t>
      </w:r>
      <w:r w:rsidRPr="00F2267D">
        <w:rPr>
          <w:rFonts w:eastAsiaTheme="minorHAnsi"/>
          <w:b/>
          <w:lang w:eastAsia="en-US"/>
        </w:rPr>
        <w:t xml:space="preserve"> Constat</w:t>
      </w:r>
    </w:p>
    <w:p w:rsidR="00F2267D" w:rsidRPr="00F2267D" w:rsidRDefault="00F2267D" w:rsidP="00F2267D">
      <w:pPr>
        <w:spacing w:after="160" w:line="276" w:lineRule="auto"/>
        <w:jc w:val="both"/>
        <w:rPr>
          <w:rFonts w:eastAsiaTheme="minorHAnsi"/>
          <w:lang w:eastAsia="en-US"/>
        </w:rPr>
      </w:pPr>
      <w:r w:rsidRPr="00F2267D">
        <w:rPr>
          <w:rFonts w:eastAsiaTheme="minorHAnsi"/>
          <w:lang w:eastAsia="en-US"/>
        </w:rPr>
        <w:t>Au cours de notre intervention, les pièces justificatives des paiements effectués sur les marchés de notre échantillon n’ont pas été fournies par les autorités contractantes. Cette indisponibilité des documents relatifs aux paiements ne nous a pas permis de mettre en œuvre nos diligences pour la vérification de la conformité des opérations financières. Les autorités contractantes dont les pièces de paiement ne sont pas jointes au dossier de marché sont les suivantes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Centrale d’Approvisionnement en Intrants et Matériels Agricoles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Ministère de l’Equipement/CAFER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Société Nigérienne des Produits Pétroliers ;</w:t>
      </w:r>
    </w:p>
    <w:p w:rsidR="00F2267D" w:rsidRPr="00F2267D" w:rsidRDefault="00F2267D" w:rsidP="00F2267D">
      <w:pPr>
        <w:numPr>
          <w:ilvl w:val="0"/>
          <w:numId w:val="48"/>
        </w:numPr>
        <w:spacing w:after="160" w:line="276" w:lineRule="auto"/>
        <w:contextualSpacing/>
        <w:jc w:val="both"/>
        <w:rPr>
          <w:rFonts w:eastAsiaTheme="minorHAnsi"/>
          <w:lang w:eastAsia="en-US"/>
        </w:rPr>
      </w:pPr>
      <w:r w:rsidRPr="00F2267D">
        <w:rPr>
          <w:rFonts w:eastAsiaTheme="minorHAnsi"/>
          <w:lang w:eastAsia="en-US"/>
        </w:rPr>
        <w:t>Haut-Commissariat à l’Aménagement de la Vallée du Niger ;</w:t>
      </w:r>
    </w:p>
    <w:p w:rsidR="00F2267D" w:rsidRPr="00F2267D" w:rsidRDefault="00F2267D" w:rsidP="00F2267D">
      <w:pPr>
        <w:numPr>
          <w:ilvl w:val="0"/>
          <w:numId w:val="48"/>
        </w:numPr>
        <w:spacing w:after="160" w:line="276" w:lineRule="auto"/>
        <w:ind w:right="284"/>
        <w:contextualSpacing/>
        <w:jc w:val="both"/>
        <w:rPr>
          <w:rFonts w:eastAsiaTheme="minorHAnsi"/>
          <w:lang w:eastAsia="en-US"/>
        </w:rPr>
      </w:pPr>
      <w:r w:rsidRPr="00F2267D">
        <w:rPr>
          <w:rFonts w:eastAsiaTheme="minorHAnsi"/>
          <w:lang w:eastAsia="en-US"/>
        </w:rPr>
        <w:t>Direction Régionale de l’Hydraulique et de l’Assainissement de Tillaberi ;</w:t>
      </w:r>
    </w:p>
    <w:p w:rsidR="00F2267D" w:rsidRPr="00DD20B8" w:rsidRDefault="00F2267D" w:rsidP="00F2267D">
      <w:pPr>
        <w:numPr>
          <w:ilvl w:val="0"/>
          <w:numId w:val="48"/>
        </w:numPr>
        <w:spacing w:after="160" w:line="259" w:lineRule="auto"/>
        <w:contextualSpacing/>
        <w:rPr>
          <w:rFonts w:asciiTheme="minorHAnsi" w:eastAsiaTheme="minorHAnsi" w:hAnsiTheme="minorHAnsi" w:cstheme="minorBidi"/>
          <w:sz w:val="22"/>
          <w:szCs w:val="22"/>
          <w:lang w:eastAsia="en-US"/>
        </w:rPr>
      </w:pPr>
      <w:r w:rsidRPr="00F2267D">
        <w:rPr>
          <w:rFonts w:eastAsiaTheme="minorHAnsi"/>
          <w:lang w:eastAsia="en-US"/>
        </w:rPr>
        <w:t>Ville de Niamey ;</w:t>
      </w:r>
    </w:p>
    <w:p w:rsidR="00DD20B8" w:rsidRPr="00F2267D" w:rsidRDefault="00DD20B8" w:rsidP="00DD20B8">
      <w:pPr>
        <w:spacing w:after="160" w:line="259" w:lineRule="auto"/>
        <w:ind w:left="720"/>
        <w:contextualSpacing/>
        <w:rPr>
          <w:rFonts w:asciiTheme="minorHAnsi" w:eastAsiaTheme="minorHAnsi" w:hAnsiTheme="minorHAnsi" w:cstheme="minorBidi"/>
          <w:sz w:val="22"/>
          <w:szCs w:val="22"/>
          <w:lang w:eastAsia="en-US"/>
        </w:rPr>
      </w:pPr>
    </w:p>
    <w:p w:rsidR="00F2267D" w:rsidRPr="00F2267D" w:rsidRDefault="00F2267D" w:rsidP="00F2267D">
      <w:pPr>
        <w:spacing w:after="160" w:line="276" w:lineRule="auto"/>
        <w:jc w:val="both"/>
        <w:rPr>
          <w:rFonts w:eastAsiaTheme="minorHAnsi"/>
          <w:b/>
          <w:lang w:eastAsia="en-US"/>
        </w:rPr>
      </w:pPr>
      <w:r>
        <w:rPr>
          <w:rFonts w:eastAsiaTheme="minorHAnsi"/>
          <w:b/>
          <w:lang w:eastAsia="en-US"/>
        </w:rPr>
        <w:t>5.2.4.1.2</w:t>
      </w:r>
      <w:r w:rsidRPr="00F2267D">
        <w:rPr>
          <w:rFonts w:eastAsiaTheme="minorHAnsi"/>
          <w:b/>
          <w:lang w:eastAsia="en-US"/>
        </w:rPr>
        <w:t xml:space="preserve"> Recommandations</w:t>
      </w:r>
    </w:p>
    <w:p w:rsidR="00F2267D" w:rsidRPr="00F2267D" w:rsidRDefault="00F2267D" w:rsidP="00F2267D">
      <w:pPr>
        <w:spacing w:after="200" w:line="360" w:lineRule="auto"/>
        <w:jc w:val="both"/>
        <w:rPr>
          <w:rFonts w:eastAsiaTheme="minorHAnsi"/>
          <w:lang w:eastAsia="en-US"/>
        </w:rPr>
      </w:pPr>
      <w:r w:rsidRPr="00F2267D">
        <w:rPr>
          <w:rFonts w:eastAsiaTheme="minorHAnsi"/>
          <w:lang w:eastAsia="en-US"/>
        </w:rPr>
        <w:t>Nous recommandons de joindre les pièces de règlement aux dossiers de passation des marchés.</w:t>
      </w:r>
    </w:p>
    <w:sectPr w:rsidR="00F2267D" w:rsidRPr="00F2267D" w:rsidSect="00210B0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D2F" w:rsidRDefault="00A93D2F">
      <w:r>
        <w:separator/>
      </w:r>
    </w:p>
  </w:endnote>
  <w:endnote w:type="continuationSeparator" w:id="0">
    <w:p w:rsidR="00A93D2F" w:rsidRDefault="00A9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35E" w:rsidRDefault="00E9635E" w:rsidP="006026FE">
    <w:pPr>
      <w:pStyle w:val="Pieddepage"/>
      <w:rPr>
        <w:b/>
        <w:sz w:val="20"/>
        <w:szCs w:val="20"/>
      </w:rPr>
    </w:pPr>
  </w:p>
  <w:p w:rsidR="00E9635E" w:rsidRPr="00E04656" w:rsidRDefault="00E9635E">
    <w:pPr>
      <w:pStyle w:val="Pieddepage"/>
      <w:rPr>
        <w:b/>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35E" w:rsidRPr="008B4255" w:rsidRDefault="00A93D2F" w:rsidP="008B4255">
    <w:pPr>
      <w:pStyle w:val="Pieddepage"/>
      <w:rPr>
        <w:bCs/>
        <w:sz w:val="20"/>
        <w:szCs w:val="20"/>
      </w:rPr>
    </w:pPr>
    <w:r>
      <w:rPr>
        <w:noProof/>
        <w:sz w:val="20"/>
        <w:szCs w:val="20"/>
      </w:rPr>
      <w:pict>
        <v:line id="Connecteur droit 4" o:spid="_x0000_s2049" style="position:absolute;z-index:251661312;visibility:visible" from="0,1.75pt" to="47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"/>
      </w:pict>
    </w:r>
    <w:r w:rsidR="00E9635E" w:rsidRPr="008B4255">
      <w:rPr>
        <w:sz w:val="20"/>
        <w:szCs w:val="20"/>
      </w:rPr>
      <w:t xml:space="preserve">Rapport </w:t>
    </w:r>
    <w:r w:rsidR="00E9635E">
      <w:rPr>
        <w:bCs/>
        <w:sz w:val="20"/>
        <w:szCs w:val="20"/>
      </w:rPr>
      <w:t xml:space="preserve">de synthèse </w:t>
    </w:r>
    <w:r w:rsidR="00E9635E" w:rsidRPr="008B4255">
      <w:rPr>
        <w:bCs/>
        <w:sz w:val="20"/>
        <w:szCs w:val="20"/>
      </w:rPr>
      <w:t>d’audit de conformité des March</w:t>
    </w:r>
    <w:r w:rsidR="00A720C5">
      <w:rPr>
        <w:bCs/>
        <w:sz w:val="20"/>
        <w:szCs w:val="20"/>
      </w:rPr>
      <w:t>é</w:t>
    </w:r>
    <w:r w:rsidR="00E9635E" w:rsidRPr="008B4255">
      <w:rPr>
        <w:bCs/>
        <w:sz w:val="20"/>
        <w:szCs w:val="20"/>
      </w:rPr>
      <w:t>s</w:t>
    </w:r>
  </w:p>
  <w:p w:rsidR="00E9635E" w:rsidRPr="00521628" w:rsidRDefault="00E9635E" w:rsidP="008B4255">
    <w:pPr>
      <w:pStyle w:val="Pieddepage"/>
      <w:rPr>
        <w:b/>
        <w:bCs/>
        <w:sz w:val="20"/>
        <w:szCs w:val="20"/>
      </w:rPr>
    </w:pPr>
    <w:r w:rsidRPr="008B4255">
      <w:rPr>
        <w:bCs/>
        <w:sz w:val="20"/>
        <w:szCs w:val="20"/>
      </w:rPr>
      <w:t xml:space="preserve">Publics et  des Délégations de Service Public </w:t>
    </w:r>
    <w:r>
      <w:rPr>
        <w:bCs/>
        <w:sz w:val="20"/>
        <w:szCs w:val="20"/>
      </w:rPr>
      <w:t xml:space="preserve"> -</w:t>
    </w:r>
    <w:r w:rsidRPr="00521628">
      <w:rPr>
        <w:b/>
        <w:bCs/>
        <w:sz w:val="20"/>
        <w:szCs w:val="20"/>
      </w:rPr>
      <w:t>Lot</w:t>
    </w:r>
    <w:r>
      <w:rPr>
        <w:b/>
        <w:bCs/>
        <w:sz w:val="20"/>
        <w:szCs w:val="20"/>
      </w:rPr>
      <w:t xml:space="preserve"> </w:t>
    </w:r>
    <w:r w:rsidRPr="00521628">
      <w:rPr>
        <w:b/>
        <w:bCs/>
        <w:sz w:val="20"/>
        <w:szCs w:val="20"/>
      </w:rPr>
      <w:t>2</w:t>
    </w:r>
  </w:p>
  <w:p w:rsidR="00E9635E" w:rsidRPr="008B4255" w:rsidRDefault="00E9635E" w:rsidP="008B4255">
    <w:pPr>
      <w:pStyle w:val="Pieddepage"/>
      <w:rPr>
        <w:sz w:val="20"/>
        <w:szCs w:val="20"/>
      </w:rPr>
    </w:pPr>
    <w:r w:rsidRPr="008B4255">
      <w:rPr>
        <w:bCs/>
        <w:sz w:val="20"/>
        <w:szCs w:val="20"/>
      </w:rPr>
      <w:t>Exercice 2015</w:t>
    </w:r>
    <w:r>
      <w:rPr>
        <w:bCs/>
        <w:sz w:val="20"/>
        <w:szCs w:val="20"/>
      </w:rPr>
      <w:t>____________</w:t>
    </w:r>
    <w:r w:rsidR="00A720C5">
      <w:rPr>
        <w:bCs/>
        <w:sz w:val="20"/>
        <w:szCs w:val="20"/>
      </w:rPr>
      <w:t>_____</w:t>
    </w:r>
    <w:r>
      <w:rPr>
        <w:bCs/>
        <w:sz w:val="20"/>
        <w:szCs w:val="20"/>
      </w:rPr>
      <w:t>__</w:t>
    </w:r>
    <w:r w:rsidR="00A720C5">
      <w:rPr>
        <w:bCs/>
        <w:sz w:val="20"/>
        <w:szCs w:val="20"/>
      </w:rPr>
      <w:t xml:space="preserve"> </w:t>
    </w:r>
    <w:r w:rsidR="00A720C5">
      <w:rPr>
        <w:sz w:val="20"/>
        <w:szCs w:val="20"/>
      </w:rPr>
      <w:t>Mars</w:t>
    </w:r>
    <w:r>
      <w:rPr>
        <w:sz w:val="20"/>
        <w:szCs w:val="20"/>
      </w:rPr>
      <w:t xml:space="preserve">  2018_______</w:t>
    </w:r>
    <w:r w:rsidR="00A720C5">
      <w:rPr>
        <w:sz w:val="20"/>
        <w:szCs w:val="20"/>
      </w:rPr>
      <w:t>____</w:t>
    </w:r>
    <w:r>
      <w:rPr>
        <w:sz w:val="20"/>
        <w:szCs w:val="20"/>
      </w:rPr>
      <w:t>______</w:t>
    </w:r>
    <w:r w:rsidRPr="008B4255">
      <w:rPr>
        <w:sz w:val="20"/>
        <w:szCs w:val="20"/>
      </w:rPr>
      <w:t xml:space="preserve">Cabinet FIDUCIAL EXPERTISE   AK   </w:t>
    </w:r>
  </w:p>
  <w:p w:rsidR="00E9635E" w:rsidRPr="008B4255" w:rsidRDefault="00E9635E" w:rsidP="008B4255">
    <w:pPr>
      <w:pStyle w:val="Pieddepage"/>
      <w:rPr>
        <w:b/>
        <w:i/>
        <w:sz w:val="20"/>
        <w:szCs w:val="20"/>
      </w:rPr>
    </w:pPr>
    <w:r>
      <w:rPr>
        <w:b/>
        <w:i/>
        <w:sz w:val="20"/>
        <w:szCs w:val="20"/>
      </w:rPr>
      <w:t xml:space="preserve">                                                    </w:t>
    </w:r>
    <w:r w:rsidR="00A720C5">
      <w:rPr>
        <w:b/>
        <w:i/>
        <w:sz w:val="20"/>
        <w:szCs w:val="20"/>
      </w:rPr>
      <w:t xml:space="preserve">                </w:t>
    </w:r>
    <w:r>
      <w:rPr>
        <w:b/>
        <w:i/>
        <w:sz w:val="20"/>
        <w:szCs w:val="20"/>
      </w:rPr>
      <w:t xml:space="preserve"> Définitif</w:t>
    </w:r>
  </w:p>
  <w:p w:rsidR="00E9635E" w:rsidRPr="00E04656" w:rsidRDefault="00E9635E">
    <w:pPr>
      <w:pStyle w:val="Pieddepage"/>
      <w:rPr>
        <w:b/>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D2F" w:rsidRDefault="00A93D2F">
      <w:r>
        <w:separator/>
      </w:r>
    </w:p>
  </w:footnote>
  <w:footnote w:type="continuationSeparator" w:id="0">
    <w:p w:rsidR="00A93D2F" w:rsidRDefault="00A93D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477964"/>
      <w:docPartObj>
        <w:docPartGallery w:val="Page Numbers (Top of Page)"/>
        <w:docPartUnique/>
      </w:docPartObj>
    </w:sdtPr>
    <w:sdtEndPr/>
    <w:sdtContent>
      <w:p w:rsidR="00E9635E" w:rsidRDefault="00E9635E">
        <w:pPr>
          <w:pStyle w:val="En-tte"/>
          <w:jc w:val="right"/>
        </w:pPr>
        <w:r>
          <w:fldChar w:fldCharType="begin"/>
        </w:r>
        <w:r>
          <w:instrText>PAGE   \* MERGEFORMAT</w:instrText>
        </w:r>
        <w:r>
          <w:fldChar w:fldCharType="separate"/>
        </w:r>
        <w:r w:rsidR="00F27064">
          <w:rPr>
            <w:noProof/>
          </w:rPr>
          <w:t>48</w:t>
        </w:r>
        <w:r>
          <w:rPr>
            <w:noProof/>
          </w:rPr>
          <w:fldChar w:fldCharType="end"/>
        </w:r>
      </w:p>
    </w:sdtContent>
  </w:sdt>
  <w:p w:rsidR="00E9635E" w:rsidRDefault="00E9635E">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373A"/>
    <w:multiLevelType w:val="hybridMultilevel"/>
    <w:tmpl w:val="C298E12A"/>
    <w:lvl w:ilvl="0" w:tplc="384630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5E6440"/>
    <w:multiLevelType w:val="multilevel"/>
    <w:tmpl w:val="7832B188"/>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B06BF"/>
    <w:multiLevelType w:val="hybridMultilevel"/>
    <w:tmpl w:val="D9E6F032"/>
    <w:lvl w:ilvl="0" w:tplc="57A00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DF12C8"/>
    <w:multiLevelType w:val="hybridMultilevel"/>
    <w:tmpl w:val="8D461F94"/>
    <w:lvl w:ilvl="0" w:tplc="384630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C25703"/>
    <w:multiLevelType w:val="hybridMultilevel"/>
    <w:tmpl w:val="0F601288"/>
    <w:lvl w:ilvl="0" w:tplc="57A00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D833C0"/>
    <w:multiLevelType w:val="hybridMultilevel"/>
    <w:tmpl w:val="0E4860C4"/>
    <w:lvl w:ilvl="0" w:tplc="57A00EE8">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0F450BF8"/>
    <w:multiLevelType w:val="hybridMultilevel"/>
    <w:tmpl w:val="9E4E8C56"/>
    <w:lvl w:ilvl="0" w:tplc="38463040">
      <w:start w:val="1"/>
      <w:numFmt w:val="bullet"/>
      <w:lvlText w:val=""/>
      <w:lvlJc w:val="left"/>
      <w:pPr>
        <w:ind w:left="7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FC5FD8"/>
    <w:multiLevelType w:val="hybridMultilevel"/>
    <w:tmpl w:val="E21044BE"/>
    <w:lvl w:ilvl="0" w:tplc="38463040">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15:restartNumberingAfterBreak="0">
    <w:nsid w:val="150D4D2B"/>
    <w:multiLevelType w:val="hybridMultilevel"/>
    <w:tmpl w:val="68FE4120"/>
    <w:lvl w:ilvl="0" w:tplc="57A00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0A16F6"/>
    <w:multiLevelType w:val="multilevel"/>
    <w:tmpl w:val="440E3436"/>
    <w:lvl w:ilvl="0">
      <w:start w:val="4"/>
      <w:numFmt w:val="decimal"/>
      <w:lvlText w:val="%1"/>
      <w:lvlJc w:val="left"/>
      <w:pPr>
        <w:ind w:left="660" w:hanging="660"/>
      </w:pPr>
      <w:rPr>
        <w:rFonts w:eastAsiaTheme="minorHAnsi" w:hint="default"/>
        <w:b/>
      </w:rPr>
    </w:lvl>
    <w:lvl w:ilvl="1">
      <w:start w:val="2"/>
      <w:numFmt w:val="decimal"/>
      <w:lvlText w:val="%1.%2"/>
      <w:lvlJc w:val="left"/>
      <w:pPr>
        <w:ind w:left="660" w:hanging="6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0" w15:restartNumberingAfterBreak="0">
    <w:nsid w:val="1B414D9C"/>
    <w:multiLevelType w:val="hybridMultilevel"/>
    <w:tmpl w:val="5EFA0E68"/>
    <w:lvl w:ilvl="0" w:tplc="0F6AD62C">
      <w:numFmt w:val="bullet"/>
      <w:lvlText w:val="−"/>
      <w:lvlJc w:val="left"/>
      <w:pPr>
        <w:ind w:left="720" w:hanging="360"/>
      </w:pPr>
      <w:rPr>
        <w:rFonts w:ascii="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8457CC"/>
    <w:multiLevelType w:val="hybridMultilevel"/>
    <w:tmpl w:val="D8C4585E"/>
    <w:lvl w:ilvl="0" w:tplc="0F6AD62C">
      <w:numFmt w:val="bullet"/>
      <w:lvlText w:val="−"/>
      <w:lvlJc w:val="left"/>
      <w:pPr>
        <w:ind w:left="720" w:hanging="360"/>
      </w:pPr>
      <w:rPr>
        <w:rFonts w:ascii="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6E2AAF"/>
    <w:multiLevelType w:val="hybridMultilevel"/>
    <w:tmpl w:val="46FEE384"/>
    <w:lvl w:ilvl="0" w:tplc="384630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970168"/>
    <w:multiLevelType w:val="multilevel"/>
    <w:tmpl w:val="382EC56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C629C0"/>
    <w:multiLevelType w:val="hybridMultilevel"/>
    <w:tmpl w:val="90E04EA4"/>
    <w:lvl w:ilvl="0" w:tplc="384630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EF0034"/>
    <w:multiLevelType w:val="hybridMultilevel"/>
    <w:tmpl w:val="00344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B62CCA"/>
    <w:multiLevelType w:val="hybridMultilevel"/>
    <w:tmpl w:val="E68ACC42"/>
    <w:lvl w:ilvl="0" w:tplc="384630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557CD2"/>
    <w:multiLevelType w:val="hybridMultilevel"/>
    <w:tmpl w:val="D5469BD6"/>
    <w:lvl w:ilvl="0" w:tplc="57A00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B9F330D"/>
    <w:multiLevelType w:val="hybridMultilevel"/>
    <w:tmpl w:val="50B23194"/>
    <w:lvl w:ilvl="0" w:tplc="0F6AD62C">
      <w:numFmt w:val="bullet"/>
      <w:lvlText w:val="−"/>
      <w:lvlJc w:val="left"/>
      <w:pPr>
        <w:ind w:left="720" w:hanging="360"/>
      </w:pPr>
      <w:rPr>
        <w:rFonts w:ascii="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D04336C"/>
    <w:multiLevelType w:val="hybridMultilevel"/>
    <w:tmpl w:val="D7CEB0B8"/>
    <w:lvl w:ilvl="0" w:tplc="0F6AD62C">
      <w:numFmt w:val="bullet"/>
      <w:lvlText w:val="−"/>
      <w:lvlJc w:val="left"/>
      <w:pPr>
        <w:ind w:left="720" w:hanging="360"/>
      </w:pPr>
      <w:rPr>
        <w:rFonts w:ascii="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D990871"/>
    <w:multiLevelType w:val="hybridMultilevel"/>
    <w:tmpl w:val="3306F5D6"/>
    <w:lvl w:ilvl="0" w:tplc="0F6AD62C">
      <w:numFmt w:val="bullet"/>
      <w:lvlText w:val="−"/>
      <w:lvlJc w:val="left"/>
      <w:pPr>
        <w:ind w:left="720" w:hanging="360"/>
      </w:pPr>
      <w:rPr>
        <w:rFonts w:ascii="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1902ACD"/>
    <w:multiLevelType w:val="hybridMultilevel"/>
    <w:tmpl w:val="756EA0EE"/>
    <w:lvl w:ilvl="0" w:tplc="0F6AD62C">
      <w:numFmt w:val="bullet"/>
      <w:lvlText w:val="−"/>
      <w:lvlJc w:val="left"/>
      <w:pPr>
        <w:ind w:left="720" w:hanging="360"/>
      </w:pPr>
      <w:rPr>
        <w:rFonts w:ascii="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A2267D"/>
    <w:multiLevelType w:val="hybridMultilevel"/>
    <w:tmpl w:val="92904432"/>
    <w:lvl w:ilvl="0" w:tplc="384630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3E33930"/>
    <w:multiLevelType w:val="hybridMultilevel"/>
    <w:tmpl w:val="3DE608E2"/>
    <w:lvl w:ilvl="0" w:tplc="0F6AD62C">
      <w:numFmt w:val="bullet"/>
      <w:lvlText w:val="−"/>
      <w:lvlJc w:val="left"/>
      <w:pPr>
        <w:ind w:left="720" w:hanging="360"/>
      </w:pPr>
      <w:rPr>
        <w:rFonts w:ascii="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5967506"/>
    <w:multiLevelType w:val="hybridMultilevel"/>
    <w:tmpl w:val="4E6878CA"/>
    <w:lvl w:ilvl="0" w:tplc="57A00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F216CC"/>
    <w:multiLevelType w:val="hybridMultilevel"/>
    <w:tmpl w:val="AEAA1E80"/>
    <w:lvl w:ilvl="0" w:tplc="6826F4F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70446C8"/>
    <w:multiLevelType w:val="hybridMultilevel"/>
    <w:tmpl w:val="7122C038"/>
    <w:lvl w:ilvl="0" w:tplc="0F6AD62C">
      <w:numFmt w:val="bullet"/>
      <w:lvlText w:val="−"/>
      <w:lvlJc w:val="left"/>
      <w:pPr>
        <w:ind w:left="720" w:hanging="360"/>
      </w:pPr>
      <w:rPr>
        <w:rFonts w:ascii="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BFA1D43"/>
    <w:multiLevelType w:val="hybridMultilevel"/>
    <w:tmpl w:val="87E60424"/>
    <w:lvl w:ilvl="0" w:tplc="384630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C8D3B30"/>
    <w:multiLevelType w:val="hybridMultilevel"/>
    <w:tmpl w:val="E0B05E82"/>
    <w:lvl w:ilvl="0" w:tplc="57A00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D0E0A39"/>
    <w:multiLevelType w:val="hybridMultilevel"/>
    <w:tmpl w:val="984076C4"/>
    <w:lvl w:ilvl="0" w:tplc="57A00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06B7A70"/>
    <w:multiLevelType w:val="hybridMultilevel"/>
    <w:tmpl w:val="CB18F374"/>
    <w:lvl w:ilvl="0" w:tplc="57A00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0A5302D"/>
    <w:multiLevelType w:val="hybridMultilevel"/>
    <w:tmpl w:val="C8B43374"/>
    <w:lvl w:ilvl="0" w:tplc="0F6AD62C">
      <w:numFmt w:val="bullet"/>
      <w:lvlText w:val="−"/>
      <w:lvlJc w:val="left"/>
      <w:pPr>
        <w:ind w:left="720" w:hanging="360"/>
      </w:pPr>
      <w:rPr>
        <w:rFonts w:ascii="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5E36AF9"/>
    <w:multiLevelType w:val="hybridMultilevel"/>
    <w:tmpl w:val="562681CE"/>
    <w:lvl w:ilvl="0" w:tplc="0F6AD62C">
      <w:numFmt w:val="bullet"/>
      <w:lvlText w:val="−"/>
      <w:lvlJc w:val="left"/>
      <w:pPr>
        <w:ind w:left="720" w:hanging="360"/>
      </w:pPr>
      <w:rPr>
        <w:rFonts w:ascii="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60168AC"/>
    <w:multiLevelType w:val="hybridMultilevel"/>
    <w:tmpl w:val="3798204C"/>
    <w:lvl w:ilvl="0" w:tplc="57A00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7C227B9"/>
    <w:multiLevelType w:val="hybridMultilevel"/>
    <w:tmpl w:val="28BC28BE"/>
    <w:lvl w:ilvl="0" w:tplc="57A00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BCC2180"/>
    <w:multiLevelType w:val="hybridMultilevel"/>
    <w:tmpl w:val="E72E8338"/>
    <w:lvl w:ilvl="0" w:tplc="384630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E141D92"/>
    <w:multiLevelType w:val="hybridMultilevel"/>
    <w:tmpl w:val="3CE69B7E"/>
    <w:lvl w:ilvl="0" w:tplc="57A00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F4417C1"/>
    <w:multiLevelType w:val="hybridMultilevel"/>
    <w:tmpl w:val="1CA2E2F8"/>
    <w:lvl w:ilvl="0" w:tplc="384630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3E53427"/>
    <w:multiLevelType w:val="hybridMultilevel"/>
    <w:tmpl w:val="90C2D1BA"/>
    <w:lvl w:ilvl="0" w:tplc="57A00EE8">
      <w:start w:val="1"/>
      <w:numFmt w:val="bullet"/>
      <w:lvlText w:val=""/>
      <w:lvlJc w:val="left"/>
      <w:pPr>
        <w:ind w:left="1353"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567D47EE"/>
    <w:multiLevelType w:val="hybridMultilevel"/>
    <w:tmpl w:val="7430BD9C"/>
    <w:lvl w:ilvl="0" w:tplc="57A00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7E36EB6"/>
    <w:multiLevelType w:val="hybridMultilevel"/>
    <w:tmpl w:val="F9D2998E"/>
    <w:lvl w:ilvl="0" w:tplc="57A00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9887319"/>
    <w:multiLevelType w:val="hybridMultilevel"/>
    <w:tmpl w:val="954AD56E"/>
    <w:lvl w:ilvl="0" w:tplc="57A00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B6C7CAE"/>
    <w:multiLevelType w:val="hybridMultilevel"/>
    <w:tmpl w:val="C67031F4"/>
    <w:lvl w:ilvl="0" w:tplc="314807F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C7369CD"/>
    <w:multiLevelType w:val="hybridMultilevel"/>
    <w:tmpl w:val="5F325464"/>
    <w:lvl w:ilvl="0" w:tplc="384630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C8D52B6"/>
    <w:multiLevelType w:val="multilevel"/>
    <w:tmpl w:val="53BCA69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FC13736"/>
    <w:multiLevelType w:val="hybridMultilevel"/>
    <w:tmpl w:val="8D38FE9C"/>
    <w:lvl w:ilvl="0" w:tplc="0F6AD62C">
      <w:numFmt w:val="bullet"/>
      <w:lvlText w:val="−"/>
      <w:lvlJc w:val="left"/>
      <w:pPr>
        <w:ind w:left="720" w:hanging="360"/>
      </w:pPr>
      <w:rPr>
        <w:rFonts w:ascii="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145650E"/>
    <w:multiLevelType w:val="hybridMultilevel"/>
    <w:tmpl w:val="4B5A2E76"/>
    <w:lvl w:ilvl="0" w:tplc="57A00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47C3ADB"/>
    <w:multiLevelType w:val="hybridMultilevel"/>
    <w:tmpl w:val="22FC979C"/>
    <w:lvl w:ilvl="0" w:tplc="38463040">
      <w:start w:val="1"/>
      <w:numFmt w:val="bullet"/>
      <w:lvlText w:val=""/>
      <w:lvlJc w:val="left"/>
      <w:pPr>
        <w:ind w:left="7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64D5E9C"/>
    <w:multiLevelType w:val="hybridMultilevel"/>
    <w:tmpl w:val="A8066326"/>
    <w:lvl w:ilvl="0" w:tplc="0F6AD62C">
      <w:numFmt w:val="bullet"/>
      <w:lvlText w:val="−"/>
      <w:lvlJc w:val="left"/>
      <w:pPr>
        <w:ind w:left="720" w:hanging="360"/>
      </w:pPr>
      <w:rPr>
        <w:rFonts w:ascii="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BCB0C65"/>
    <w:multiLevelType w:val="hybridMultilevel"/>
    <w:tmpl w:val="3EF81994"/>
    <w:lvl w:ilvl="0" w:tplc="0F6AD62C">
      <w:numFmt w:val="bullet"/>
      <w:lvlText w:val="−"/>
      <w:lvlJc w:val="left"/>
      <w:pPr>
        <w:ind w:left="720" w:hanging="360"/>
      </w:pPr>
      <w:rPr>
        <w:rFonts w:ascii="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CF70E53"/>
    <w:multiLevelType w:val="hybridMultilevel"/>
    <w:tmpl w:val="9C3AD54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DD73266"/>
    <w:multiLevelType w:val="hybridMultilevel"/>
    <w:tmpl w:val="51CA436A"/>
    <w:lvl w:ilvl="0" w:tplc="57A00EE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08205BB"/>
    <w:multiLevelType w:val="hybridMultilevel"/>
    <w:tmpl w:val="2C2E2D7C"/>
    <w:lvl w:ilvl="0" w:tplc="384630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10D4B31"/>
    <w:multiLevelType w:val="hybridMultilevel"/>
    <w:tmpl w:val="B4D624C0"/>
    <w:lvl w:ilvl="0" w:tplc="57A00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25B6770"/>
    <w:multiLevelType w:val="multilevel"/>
    <w:tmpl w:val="0178C0C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AE61773"/>
    <w:multiLevelType w:val="hybridMultilevel"/>
    <w:tmpl w:val="77F6A2F4"/>
    <w:lvl w:ilvl="0" w:tplc="384630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E7A5881"/>
    <w:multiLevelType w:val="hybridMultilevel"/>
    <w:tmpl w:val="0756C178"/>
    <w:lvl w:ilvl="0" w:tplc="0F6AD62C">
      <w:numFmt w:val="bullet"/>
      <w:lvlText w:val="−"/>
      <w:lvlJc w:val="left"/>
      <w:pPr>
        <w:ind w:left="720" w:hanging="360"/>
      </w:pPr>
      <w:rPr>
        <w:rFonts w:ascii="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40"/>
  </w:num>
  <w:num w:numId="3">
    <w:abstractNumId w:val="30"/>
  </w:num>
  <w:num w:numId="4">
    <w:abstractNumId w:val="4"/>
  </w:num>
  <w:num w:numId="5">
    <w:abstractNumId w:val="8"/>
  </w:num>
  <w:num w:numId="6">
    <w:abstractNumId w:val="20"/>
  </w:num>
  <w:num w:numId="7">
    <w:abstractNumId w:val="36"/>
  </w:num>
  <w:num w:numId="8">
    <w:abstractNumId w:val="23"/>
  </w:num>
  <w:num w:numId="9">
    <w:abstractNumId w:val="10"/>
  </w:num>
  <w:num w:numId="10">
    <w:abstractNumId w:val="26"/>
  </w:num>
  <w:num w:numId="11">
    <w:abstractNumId w:val="32"/>
  </w:num>
  <w:num w:numId="12">
    <w:abstractNumId w:val="48"/>
  </w:num>
  <w:num w:numId="13">
    <w:abstractNumId w:val="31"/>
  </w:num>
  <w:num w:numId="14">
    <w:abstractNumId w:val="18"/>
  </w:num>
  <w:num w:numId="15">
    <w:abstractNumId w:val="21"/>
  </w:num>
  <w:num w:numId="16">
    <w:abstractNumId w:val="19"/>
  </w:num>
  <w:num w:numId="17">
    <w:abstractNumId w:val="45"/>
  </w:num>
  <w:num w:numId="18">
    <w:abstractNumId w:val="56"/>
  </w:num>
  <w:num w:numId="19">
    <w:abstractNumId w:val="50"/>
  </w:num>
  <w:num w:numId="20">
    <w:abstractNumId w:val="17"/>
  </w:num>
  <w:num w:numId="21">
    <w:abstractNumId w:val="29"/>
  </w:num>
  <w:num w:numId="22">
    <w:abstractNumId w:val="15"/>
  </w:num>
  <w:num w:numId="23">
    <w:abstractNumId w:val="41"/>
  </w:num>
  <w:num w:numId="24">
    <w:abstractNumId w:val="9"/>
  </w:num>
  <w:num w:numId="25">
    <w:abstractNumId w:val="54"/>
  </w:num>
  <w:num w:numId="26">
    <w:abstractNumId w:val="44"/>
  </w:num>
  <w:num w:numId="27">
    <w:abstractNumId w:val="13"/>
  </w:num>
  <w:num w:numId="28">
    <w:abstractNumId w:val="1"/>
  </w:num>
  <w:num w:numId="29">
    <w:abstractNumId w:val="7"/>
  </w:num>
  <w:num w:numId="30">
    <w:abstractNumId w:val="0"/>
  </w:num>
  <w:num w:numId="31">
    <w:abstractNumId w:val="14"/>
  </w:num>
  <w:num w:numId="32">
    <w:abstractNumId w:val="52"/>
  </w:num>
  <w:num w:numId="33">
    <w:abstractNumId w:val="22"/>
  </w:num>
  <w:num w:numId="34">
    <w:abstractNumId w:val="43"/>
  </w:num>
  <w:num w:numId="35">
    <w:abstractNumId w:val="3"/>
  </w:num>
  <w:num w:numId="36">
    <w:abstractNumId w:val="37"/>
  </w:num>
  <w:num w:numId="37">
    <w:abstractNumId w:val="27"/>
  </w:num>
  <w:num w:numId="38">
    <w:abstractNumId w:val="55"/>
  </w:num>
  <w:num w:numId="39">
    <w:abstractNumId w:val="12"/>
  </w:num>
  <w:num w:numId="40">
    <w:abstractNumId w:val="35"/>
  </w:num>
  <w:num w:numId="41">
    <w:abstractNumId w:val="16"/>
  </w:num>
  <w:num w:numId="42">
    <w:abstractNumId w:val="42"/>
  </w:num>
  <w:num w:numId="43">
    <w:abstractNumId w:val="47"/>
  </w:num>
  <w:num w:numId="44">
    <w:abstractNumId w:val="6"/>
  </w:num>
  <w:num w:numId="45">
    <w:abstractNumId w:val="5"/>
  </w:num>
  <w:num w:numId="46">
    <w:abstractNumId w:val="38"/>
  </w:num>
  <w:num w:numId="47">
    <w:abstractNumId w:val="2"/>
  </w:num>
  <w:num w:numId="48">
    <w:abstractNumId w:val="33"/>
  </w:num>
  <w:num w:numId="49">
    <w:abstractNumId w:val="39"/>
  </w:num>
  <w:num w:numId="50">
    <w:abstractNumId w:val="46"/>
  </w:num>
  <w:num w:numId="51">
    <w:abstractNumId w:val="34"/>
  </w:num>
  <w:num w:numId="52">
    <w:abstractNumId w:val="49"/>
  </w:num>
  <w:num w:numId="53">
    <w:abstractNumId w:val="11"/>
  </w:num>
  <w:num w:numId="54">
    <w:abstractNumId w:val="24"/>
  </w:num>
  <w:num w:numId="55">
    <w:abstractNumId w:val="53"/>
  </w:num>
  <w:num w:numId="56">
    <w:abstractNumId w:val="51"/>
  </w:num>
  <w:num w:numId="57">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E2402"/>
    <w:rsid w:val="00000ECC"/>
    <w:rsid w:val="000460B4"/>
    <w:rsid w:val="00067F73"/>
    <w:rsid w:val="000B0363"/>
    <w:rsid w:val="000B4F5C"/>
    <w:rsid w:val="000B5368"/>
    <w:rsid w:val="00106564"/>
    <w:rsid w:val="001335C6"/>
    <w:rsid w:val="00156E32"/>
    <w:rsid w:val="00165CDE"/>
    <w:rsid w:val="0018194C"/>
    <w:rsid w:val="001900E3"/>
    <w:rsid w:val="00196F59"/>
    <w:rsid w:val="001B18F0"/>
    <w:rsid w:val="001D3701"/>
    <w:rsid w:val="001D781A"/>
    <w:rsid w:val="001F0376"/>
    <w:rsid w:val="00210B06"/>
    <w:rsid w:val="00217CA6"/>
    <w:rsid w:val="00225461"/>
    <w:rsid w:val="00225AC6"/>
    <w:rsid w:val="002265F0"/>
    <w:rsid w:val="002429C4"/>
    <w:rsid w:val="00242C54"/>
    <w:rsid w:val="00243A1A"/>
    <w:rsid w:val="002A6456"/>
    <w:rsid w:val="002D1296"/>
    <w:rsid w:val="002D2BC6"/>
    <w:rsid w:val="002D3A93"/>
    <w:rsid w:val="002D5A4A"/>
    <w:rsid w:val="002E04EA"/>
    <w:rsid w:val="0030055B"/>
    <w:rsid w:val="00313C03"/>
    <w:rsid w:val="00320C16"/>
    <w:rsid w:val="003476FD"/>
    <w:rsid w:val="003507B8"/>
    <w:rsid w:val="00350871"/>
    <w:rsid w:val="00353CCF"/>
    <w:rsid w:val="00364D10"/>
    <w:rsid w:val="003B1432"/>
    <w:rsid w:val="003C449E"/>
    <w:rsid w:val="003E31AD"/>
    <w:rsid w:val="00465AE8"/>
    <w:rsid w:val="004938B9"/>
    <w:rsid w:val="004A53A7"/>
    <w:rsid w:val="004B67F0"/>
    <w:rsid w:val="004D30BF"/>
    <w:rsid w:val="004D6747"/>
    <w:rsid w:val="004F23B7"/>
    <w:rsid w:val="004F25A2"/>
    <w:rsid w:val="004F4201"/>
    <w:rsid w:val="0050169D"/>
    <w:rsid w:val="0050604D"/>
    <w:rsid w:val="00521628"/>
    <w:rsid w:val="00523945"/>
    <w:rsid w:val="00524706"/>
    <w:rsid w:val="0053132A"/>
    <w:rsid w:val="00543572"/>
    <w:rsid w:val="0054742C"/>
    <w:rsid w:val="005753F5"/>
    <w:rsid w:val="00583F0F"/>
    <w:rsid w:val="00586031"/>
    <w:rsid w:val="005A62A4"/>
    <w:rsid w:val="005C5CB1"/>
    <w:rsid w:val="005E2402"/>
    <w:rsid w:val="005F05B2"/>
    <w:rsid w:val="0060097F"/>
    <w:rsid w:val="006026FE"/>
    <w:rsid w:val="00614376"/>
    <w:rsid w:val="00617015"/>
    <w:rsid w:val="00626CF0"/>
    <w:rsid w:val="00631C9C"/>
    <w:rsid w:val="006470E9"/>
    <w:rsid w:val="00655314"/>
    <w:rsid w:val="0068227A"/>
    <w:rsid w:val="00683876"/>
    <w:rsid w:val="006860E1"/>
    <w:rsid w:val="00686F5B"/>
    <w:rsid w:val="006A1A81"/>
    <w:rsid w:val="006E06F3"/>
    <w:rsid w:val="006E0A5B"/>
    <w:rsid w:val="006F3E77"/>
    <w:rsid w:val="006F4F75"/>
    <w:rsid w:val="006F54B1"/>
    <w:rsid w:val="006F5C49"/>
    <w:rsid w:val="00724691"/>
    <w:rsid w:val="007679FA"/>
    <w:rsid w:val="00772181"/>
    <w:rsid w:val="00787BBA"/>
    <w:rsid w:val="007D068E"/>
    <w:rsid w:val="007F3594"/>
    <w:rsid w:val="008536FB"/>
    <w:rsid w:val="00866FB1"/>
    <w:rsid w:val="00873EC3"/>
    <w:rsid w:val="00874D3E"/>
    <w:rsid w:val="008B4255"/>
    <w:rsid w:val="008C407C"/>
    <w:rsid w:val="008F585F"/>
    <w:rsid w:val="00942780"/>
    <w:rsid w:val="009455D4"/>
    <w:rsid w:val="009466DC"/>
    <w:rsid w:val="00960DF3"/>
    <w:rsid w:val="00963E14"/>
    <w:rsid w:val="009673C3"/>
    <w:rsid w:val="00986924"/>
    <w:rsid w:val="009963CF"/>
    <w:rsid w:val="009C06AE"/>
    <w:rsid w:val="009C5D44"/>
    <w:rsid w:val="009E737A"/>
    <w:rsid w:val="009F2694"/>
    <w:rsid w:val="00A3400A"/>
    <w:rsid w:val="00A64BA5"/>
    <w:rsid w:val="00A65586"/>
    <w:rsid w:val="00A720C5"/>
    <w:rsid w:val="00A914C0"/>
    <w:rsid w:val="00A93D2F"/>
    <w:rsid w:val="00AA72C5"/>
    <w:rsid w:val="00AD7858"/>
    <w:rsid w:val="00B31D9B"/>
    <w:rsid w:val="00B35143"/>
    <w:rsid w:val="00B56491"/>
    <w:rsid w:val="00B95D06"/>
    <w:rsid w:val="00BB6D6A"/>
    <w:rsid w:val="00BC5E92"/>
    <w:rsid w:val="00BD0A58"/>
    <w:rsid w:val="00BD478F"/>
    <w:rsid w:val="00BF652C"/>
    <w:rsid w:val="00C00CF1"/>
    <w:rsid w:val="00C00D71"/>
    <w:rsid w:val="00C25DAB"/>
    <w:rsid w:val="00C441E8"/>
    <w:rsid w:val="00C46A5C"/>
    <w:rsid w:val="00C470B3"/>
    <w:rsid w:val="00C534D8"/>
    <w:rsid w:val="00C579CA"/>
    <w:rsid w:val="00C6366B"/>
    <w:rsid w:val="00C72FBC"/>
    <w:rsid w:val="00C94246"/>
    <w:rsid w:val="00CB3AA6"/>
    <w:rsid w:val="00CC01A6"/>
    <w:rsid w:val="00CD25CC"/>
    <w:rsid w:val="00CE3557"/>
    <w:rsid w:val="00D10A01"/>
    <w:rsid w:val="00D313C0"/>
    <w:rsid w:val="00D34C66"/>
    <w:rsid w:val="00D40752"/>
    <w:rsid w:val="00D4190A"/>
    <w:rsid w:val="00D6580A"/>
    <w:rsid w:val="00D911BF"/>
    <w:rsid w:val="00DB20BE"/>
    <w:rsid w:val="00DC0A2F"/>
    <w:rsid w:val="00DD20B8"/>
    <w:rsid w:val="00DE7CF9"/>
    <w:rsid w:val="00E67F12"/>
    <w:rsid w:val="00E9635E"/>
    <w:rsid w:val="00EC4335"/>
    <w:rsid w:val="00EF5013"/>
    <w:rsid w:val="00F2267D"/>
    <w:rsid w:val="00F23204"/>
    <w:rsid w:val="00F27064"/>
    <w:rsid w:val="00F44DAC"/>
    <w:rsid w:val="00F47E18"/>
    <w:rsid w:val="00F56AB4"/>
    <w:rsid w:val="00F86022"/>
    <w:rsid w:val="00F965C2"/>
    <w:rsid w:val="00FC57F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020636"/>
  <w15:docId w15:val="{E6633CD1-5627-4092-9DB5-4C1B9102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40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5E2402"/>
    <w:pPr>
      <w:keepNext/>
      <w:spacing w:line="360" w:lineRule="auto"/>
      <w:ind w:left="3824" w:right="284" w:firstLine="424"/>
      <w:jc w:val="both"/>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E2402"/>
    <w:rPr>
      <w:rFonts w:ascii="Times New Roman" w:eastAsia="Times New Roman" w:hAnsi="Times New Roman" w:cs="Times New Roman"/>
      <w:b/>
      <w:sz w:val="24"/>
      <w:szCs w:val="24"/>
    </w:rPr>
  </w:style>
  <w:style w:type="paragraph" w:styleId="Corpsdetexte">
    <w:name w:val="Body Text"/>
    <w:basedOn w:val="Normal"/>
    <w:link w:val="CorpsdetexteCar"/>
    <w:rsid w:val="005E2402"/>
    <w:pPr>
      <w:jc w:val="both"/>
    </w:pPr>
  </w:style>
  <w:style w:type="character" w:customStyle="1" w:styleId="CorpsdetexteCar">
    <w:name w:val="Corps de texte Car"/>
    <w:basedOn w:val="Policepardfaut"/>
    <w:link w:val="Corpsdetexte"/>
    <w:rsid w:val="005E2402"/>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E2402"/>
    <w:pPr>
      <w:ind w:left="720"/>
      <w:contextualSpacing/>
    </w:pPr>
  </w:style>
  <w:style w:type="paragraph" w:styleId="En-tte">
    <w:name w:val="header"/>
    <w:basedOn w:val="Normal"/>
    <w:link w:val="En-tteCar"/>
    <w:uiPriority w:val="99"/>
    <w:unhideWhenUsed/>
    <w:rsid w:val="005E2402"/>
    <w:pPr>
      <w:tabs>
        <w:tab w:val="center" w:pos="4536"/>
        <w:tab w:val="right" w:pos="9072"/>
      </w:tabs>
    </w:pPr>
  </w:style>
  <w:style w:type="character" w:customStyle="1" w:styleId="En-tteCar">
    <w:name w:val="En-tête Car"/>
    <w:basedOn w:val="Policepardfaut"/>
    <w:link w:val="En-tte"/>
    <w:uiPriority w:val="99"/>
    <w:rsid w:val="005E240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E2402"/>
    <w:pPr>
      <w:tabs>
        <w:tab w:val="center" w:pos="4536"/>
        <w:tab w:val="right" w:pos="9072"/>
      </w:tabs>
    </w:pPr>
  </w:style>
  <w:style w:type="character" w:customStyle="1" w:styleId="PieddepageCar">
    <w:name w:val="Pied de page Car"/>
    <w:basedOn w:val="Policepardfaut"/>
    <w:link w:val="Pieddepage"/>
    <w:uiPriority w:val="99"/>
    <w:rsid w:val="005E2402"/>
    <w:rPr>
      <w:rFonts w:ascii="Times New Roman" w:eastAsia="Times New Roman" w:hAnsi="Times New Roman" w:cs="Times New Roman"/>
      <w:sz w:val="24"/>
      <w:szCs w:val="24"/>
      <w:lang w:eastAsia="fr-FR"/>
    </w:rPr>
  </w:style>
  <w:style w:type="table" w:styleId="Grilledutableau">
    <w:name w:val="Table Grid"/>
    <w:basedOn w:val="TableauNormal"/>
    <w:uiPriority w:val="39"/>
    <w:rsid w:val="005E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5E2402"/>
    <w:pPr>
      <w:spacing w:after="120"/>
      <w:ind w:left="283"/>
    </w:pPr>
  </w:style>
  <w:style w:type="character" w:customStyle="1" w:styleId="RetraitcorpsdetexteCar">
    <w:name w:val="Retrait corps de texte Car"/>
    <w:basedOn w:val="Policepardfaut"/>
    <w:link w:val="Retraitcorpsdetexte"/>
    <w:rsid w:val="005E2402"/>
    <w:rPr>
      <w:rFonts w:ascii="Times New Roman" w:eastAsia="Times New Roman" w:hAnsi="Times New Roman" w:cs="Times New Roman"/>
      <w:sz w:val="24"/>
      <w:szCs w:val="24"/>
    </w:rPr>
  </w:style>
  <w:style w:type="character" w:styleId="Lienhypertexte">
    <w:name w:val="Hyperlink"/>
    <w:rsid w:val="005E2402"/>
    <w:rPr>
      <w:color w:val="0000FF"/>
      <w:u w:val="single"/>
    </w:rPr>
  </w:style>
  <w:style w:type="paragraph" w:styleId="Textedebulles">
    <w:name w:val="Balloon Text"/>
    <w:basedOn w:val="Normal"/>
    <w:link w:val="TextedebullesCar"/>
    <w:uiPriority w:val="99"/>
    <w:semiHidden/>
    <w:unhideWhenUsed/>
    <w:rsid w:val="005E2402"/>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2402"/>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5E2402"/>
    <w:rPr>
      <w:sz w:val="16"/>
      <w:szCs w:val="16"/>
    </w:rPr>
  </w:style>
  <w:style w:type="paragraph" w:styleId="Commentaire">
    <w:name w:val="annotation text"/>
    <w:basedOn w:val="Normal"/>
    <w:link w:val="CommentaireCar"/>
    <w:uiPriority w:val="99"/>
    <w:semiHidden/>
    <w:unhideWhenUsed/>
    <w:rsid w:val="005E2402"/>
    <w:rPr>
      <w:sz w:val="20"/>
      <w:szCs w:val="20"/>
    </w:rPr>
  </w:style>
  <w:style w:type="character" w:customStyle="1" w:styleId="CommentaireCar">
    <w:name w:val="Commentaire Car"/>
    <w:basedOn w:val="Policepardfaut"/>
    <w:link w:val="Commentaire"/>
    <w:uiPriority w:val="99"/>
    <w:semiHidden/>
    <w:rsid w:val="005E240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5E2402"/>
    <w:rPr>
      <w:b/>
      <w:bCs/>
    </w:rPr>
  </w:style>
  <w:style w:type="character" w:customStyle="1" w:styleId="ObjetducommentaireCar">
    <w:name w:val="Objet du commentaire Car"/>
    <w:basedOn w:val="CommentaireCar"/>
    <w:link w:val="Objetducommentaire"/>
    <w:uiPriority w:val="99"/>
    <w:semiHidden/>
    <w:rsid w:val="005E2402"/>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382279">
      <w:bodyDiv w:val="1"/>
      <w:marLeft w:val="0"/>
      <w:marRight w:val="0"/>
      <w:marTop w:val="0"/>
      <w:marBottom w:val="0"/>
      <w:divBdr>
        <w:top w:val="none" w:sz="0" w:space="0" w:color="auto"/>
        <w:left w:val="none" w:sz="0" w:space="0" w:color="auto"/>
        <w:bottom w:val="none" w:sz="0" w:space="0" w:color="auto"/>
        <w:right w:val="none" w:sz="0" w:space="0" w:color="auto"/>
      </w:divBdr>
    </w:div>
    <w:div w:id="739671737">
      <w:bodyDiv w:val="1"/>
      <w:marLeft w:val="0"/>
      <w:marRight w:val="0"/>
      <w:marTop w:val="0"/>
      <w:marBottom w:val="0"/>
      <w:divBdr>
        <w:top w:val="none" w:sz="0" w:space="0" w:color="auto"/>
        <w:left w:val="none" w:sz="0" w:space="0" w:color="auto"/>
        <w:bottom w:val="none" w:sz="0" w:space="0" w:color="auto"/>
        <w:right w:val="none" w:sz="0" w:space="0" w:color="auto"/>
      </w:divBdr>
    </w:div>
    <w:div w:id="968437143">
      <w:bodyDiv w:val="1"/>
      <w:marLeft w:val="0"/>
      <w:marRight w:val="0"/>
      <w:marTop w:val="0"/>
      <w:marBottom w:val="0"/>
      <w:divBdr>
        <w:top w:val="none" w:sz="0" w:space="0" w:color="auto"/>
        <w:left w:val="none" w:sz="0" w:space="0" w:color="auto"/>
        <w:bottom w:val="none" w:sz="0" w:space="0" w:color="auto"/>
        <w:right w:val="none" w:sz="0" w:space="0" w:color="auto"/>
      </w:divBdr>
    </w:div>
    <w:div w:id="1318412065">
      <w:bodyDiv w:val="1"/>
      <w:marLeft w:val="0"/>
      <w:marRight w:val="0"/>
      <w:marTop w:val="0"/>
      <w:marBottom w:val="0"/>
      <w:divBdr>
        <w:top w:val="none" w:sz="0" w:space="0" w:color="auto"/>
        <w:left w:val="none" w:sz="0" w:space="0" w:color="auto"/>
        <w:bottom w:val="none" w:sz="0" w:space="0" w:color="auto"/>
        <w:right w:val="none" w:sz="0" w:space="0" w:color="auto"/>
      </w:divBdr>
    </w:div>
    <w:div w:id="139114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B875B-4ADA-4184-B777-F8632A37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53</Pages>
  <Words>13566</Words>
  <Characters>74617</Characters>
  <Application>Microsoft Office Word</Application>
  <DocSecurity>0</DocSecurity>
  <Lines>621</Lines>
  <Paragraphs>176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FIDUCIAL</dc:creator>
  <cp:lastModifiedBy>hp</cp:lastModifiedBy>
  <cp:revision>58</cp:revision>
  <cp:lastPrinted>2018-04-09T16:57:00Z</cp:lastPrinted>
  <dcterms:created xsi:type="dcterms:W3CDTF">2018-01-16T12:39:00Z</dcterms:created>
  <dcterms:modified xsi:type="dcterms:W3CDTF">2018-04-09T17:05:00Z</dcterms:modified>
</cp:coreProperties>
</file>